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C12CCE">
      <w:pPr>
        <w:pStyle w:val="NormalWeb"/>
        <w:ind w:right="-15"/>
        <w:jc w:val="center"/>
        <w:divId w:val="1732801749"/>
        <w:rPr>
          <w:color w:val="000000"/>
        </w:rPr>
      </w:pPr>
      <w:bookmarkStart w:id="0" w:name="_GoBack"/>
      <w:bookmarkEnd w:id="0"/>
      <w:r>
        <w:rPr>
          <w:rStyle w:val="Strong"/>
          <w:color w:val="000000"/>
          <w:sz w:val="30"/>
          <w:szCs w:val="30"/>
        </w:rPr>
        <w:t>Ph</w:t>
      </w:r>
      <w:r>
        <w:rPr>
          <w:rStyle w:val="Strong"/>
          <w:color w:val="000000"/>
          <w:sz w:val="30"/>
          <w:szCs w:val="30"/>
        </w:rPr>
        <w:t>ụ</w:t>
      </w:r>
      <w:r>
        <w:rPr>
          <w:rStyle w:val="Strong"/>
          <w:color w:val="000000"/>
          <w:sz w:val="30"/>
          <w:szCs w:val="30"/>
        </w:rPr>
        <w:t xml:space="preserve"> l</w:t>
      </w:r>
      <w:r>
        <w:rPr>
          <w:rStyle w:val="Strong"/>
          <w:color w:val="000000"/>
          <w:sz w:val="30"/>
          <w:szCs w:val="30"/>
        </w:rPr>
        <w:t>ụ</w:t>
      </w:r>
      <w:r>
        <w:rPr>
          <w:rStyle w:val="Strong"/>
          <w:color w:val="000000"/>
          <w:sz w:val="30"/>
          <w:szCs w:val="30"/>
        </w:rPr>
        <w:t>c III</w:t>
      </w:r>
    </w:p>
    <w:p w:rsidR="00000000" w:rsidRDefault="00C12CCE">
      <w:pPr>
        <w:pStyle w:val="NormalWeb"/>
        <w:jc w:val="center"/>
        <w:divId w:val="1732801749"/>
        <w:rPr>
          <w:color w:val="000000"/>
        </w:rPr>
      </w:pPr>
      <w:r>
        <w:rPr>
          <w:rStyle w:val="Strong"/>
          <w:color w:val="000000"/>
          <w:sz w:val="30"/>
          <w:szCs w:val="30"/>
        </w:rPr>
        <w:t>CHO Ý KI</w:t>
      </w:r>
      <w:r>
        <w:rPr>
          <w:rStyle w:val="Strong"/>
          <w:color w:val="000000"/>
          <w:sz w:val="30"/>
          <w:szCs w:val="30"/>
        </w:rPr>
        <w:t>Ế</w:t>
      </w:r>
      <w:r>
        <w:rPr>
          <w:rStyle w:val="Strong"/>
          <w:color w:val="000000"/>
          <w:sz w:val="30"/>
          <w:szCs w:val="30"/>
        </w:rPr>
        <w:t>N Đ</w:t>
      </w:r>
      <w:r>
        <w:rPr>
          <w:rStyle w:val="Strong"/>
          <w:color w:val="000000"/>
          <w:sz w:val="30"/>
          <w:szCs w:val="30"/>
        </w:rPr>
        <w:t>Ố</w:t>
      </w:r>
      <w:r>
        <w:rPr>
          <w:rStyle w:val="Strong"/>
          <w:color w:val="000000"/>
          <w:sz w:val="30"/>
          <w:szCs w:val="30"/>
        </w:rPr>
        <w:t>I V</w:t>
      </w:r>
      <w:r>
        <w:rPr>
          <w:rStyle w:val="Strong"/>
          <w:color w:val="000000"/>
          <w:sz w:val="30"/>
          <w:szCs w:val="30"/>
        </w:rPr>
        <w:t>Ớ</w:t>
      </w:r>
      <w:r>
        <w:rPr>
          <w:rStyle w:val="Strong"/>
          <w:color w:val="000000"/>
          <w:sz w:val="30"/>
          <w:szCs w:val="30"/>
        </w:rPr>
        <w:t>I K</w:t>
      </w:r>
      <w:r>
        <w:rPr>
          <w:rStyle w:val="Strong"/>
          <w:color w:val="000000"/>
          <w:sz w:val="30"/>
          <w:szCs w:val="30"/>
        </w:rPr>
        <w:t>Ế</w:t>
      </w:r>
      <w:r>
        <w:rPr>
          <w:rStyle w:val="Strong"/>
          <w:color w:val="000000"/>
          <w:sz w:val="30"/>
          <w:szCs w:val="30"/>
        </w:rPr>
        <w:t>T QU</w:t>
      </w:r>
      <w:r>
        <w:rPr>
          <w:rStyle w:val="Strong"/>
          <w:color w:val="000000"/>
          <w:sz w:val="30"/>
          <w:szCs w:val="30"/>
        </w:rPr>
        <w:t>Ả</w:t>
      </w:r>
      <w:r>
        <w:rPr>
          <w:rStyle w:val="Strong"/>
          <w:color w:val="000000"/>
          <w:sz w:val="30"/>
          <w:szCs w:val="30"/>
        </w:rPr>
        <w:t xml:space="preserve"> RÀ SOÁT KHÓ KHĂN, VƯ</w:t>
      </w:r>
      <w:r>
        <w:rPr>
          <w:rStyle w:val="Strong"/>
          <w:color w:val="000000"/>
          <w:sz w:val="30"/>
          <w:szCs w:val="30"/>
        </w:rPr>
        <w:t>Ớ</w:t>
      </w:r>
      <w:r>
        <w:rPr>
          <w:rStyle w:val="Strong"/>
          <w:color w:val="000000"/>
          <w:sz w:val="30"/>
          <w:szCs w:val="30"/>
        </w:rPr>
        <w:t>NG M</w:t>
      </w:r>
      <w:r>
        <w:rPr>
          <w:rStyle w:val="Strong"/>
          <w:color w:val="000000"/>
          <w:sz w:val="30"/>
          <w:szCs w:val="30"/>
        </w:rPr>
        <w:t>Ắ</w:t>
      </w:r>
      <w:r>
        <w:rPr>
          <w:rStyle w:val="Strong"/>
          <w:color w:val="000000"/>
          <w:sz w:val="30"/>
          <w:szCs w:val="30"/>
        </w:rPr>
        <w:t>C DO QUY Đ</w:t>
      </w:r>
      <w:r>
        <w:rPr>
          <w:rStyle w:val="Strong"/>
          <w:color w:val="000000"/>
          <w:sz w:val="30"/>
          <w:szCs w:val="30"/>
        </w:rPr>
        <w:t>Ị</w:t>
      </w:r>
      <w:r>
        <w:rPr>
          <w:rStyle w:val="Strong"/>
          <w:color w:val="000000"/>
          <w:sz w:val="30"/>
          <w:szCs w:val="30"/>
        </w:rPr>
        <w:t>NH PHÁP LU</w:t>
      </w:r>
      <w:r>
        <w:rPr>
          <w:rStyle w:val="Strong"/>
          <w:color w:val="000000"/>
          <w:sz w:val="30"/>
          <w:szCs w:val="30"/>
        </w:rPr>
        <w:t>Ậ</w:t>
      </w:r>
      <w:r>
        <w:rPr>
          <w:rStyle w:val="Strong"/>
          <w:color w:val="000000"/>
          <w:sz w:val="30"/>
          <w:szCs w:val="30"/>
        </w:rPr>
        <w:t>T</w:t>
      </w:r>
    </w:p>
    <w:p w:rsidR="00000000" w:rsidRDefault="00C12CCE">
      <w:pPr>
        <w:pStyle w:val="NormalWeb"/>
        <w:jc w:val="center"/>
        <w:divId w:val="1732801749"/>
        <w:rPr>
          <w:color w:val="000000"/>
        </w:rPr>
      </w:pPr>
      <w:r>
        <w:rPr>
          <w:rStyle w:val="Strong"/>
          <w:color w:val="000000"/>
          <w:sz w:val="30"/>
          <w:szCs w:val="30"/>
        </w:rPr>
        <w:t>Tiêu chí: N</w:t>
      </w:r>
      <w:r>
        <w:rPr>
          <w:rStyle w:val="Strong"/>
          <w:color w:val="000000"/>
          <w:sz w:val="30"/>
          <w:szCs w:val="30"/>
        </w:rPr>
        <w:t>ộ</w:t>
      </w:r>
      <w:r>
        <w:rPr>
          <w:rStyle w:val="Strong"/>
          <w:color w:val="000000"/>
          <w:sz w:val="30"/>
          <w:szCs w:val="30"/>
        </w:rPr>
        <w:t>i dung quy đ</w:t>
      </w:r>
      <w:r>
        <w:rPr>
          <w:rStyle w:val="Strong"/>
          <w:color w:val="000000"/>
          <w:sz w:val="30"/>
          <w:szCs w:val="30"/>
        </w:rPr>
        <w:t>ị</w:t>
      </w:r>
      <w:r>
        <w:rPr>
          <w:rStyle w:val="Strong"/>
          <w:color w:val="000000"/>
          <w:sz w:val="30"/>
          <w:szCs w:val="30"/>
        </w:rPr>
        <w:t>nh đư</w:t>
      </w:r>
      <w:r>
        <w:rPr>
          <w:rStyle w:val="Strong"/>
          <w:color w:val="000000"/>
          <w:sz w:val="30"/>
          <w:szCs w:val="30"/>
        </w:rPr>
        <w:t>ợ</w:t>
      </w:r>
      <w:r>
        <w:rPr>
          <w:rStyle w:val="Strong"/>
          <w:color w:val="000000"/>
          <w:sz w:val="30"/>
          <w:szCs w:val="30"/>
        </w:rPr>
        <w:t>c ph</w:t>
      </w:r>
      <w:r>
        <w:rPr>
          <w:rStyle w:val="Strong"/>
          <w:color w:val="000000"/>
          <w:sz w:val="30"/>
          <w:szCs w:val="30"/>
        </w:rPr>
        <w:t>ả</w:t>
      </w:r>
      <w:r>
        <w:rPr>
          <w:rStyle w:val="Strong"/>
          <w:color w:val="000000"/>
          <w:sz w:val="30"/>
          <w:szCs w:val="30"/>
        </w:rPr>
        <w:t>n ánh t</w:t>
      </w:r>
      <w:r>
        <w:rPr>
          <w:rStyle w:val="Strong"/>
          <w:color w:val="000000"/>
          <w:sz w:val="30"/>
          <w:szCs w:val="30"/>
        </w:rPr>
        <w:t>ạ</w:t>
      </w:r>
      <w:r>
        <w:rPr>
          <w:rStyle w:val="Strong"/>
          <w:color w:val="000000"/>
          <w:sz w:val="30"/>
          <w:szCs w:val="30"/>
        </w:rPr>
        <w:t>o gánh n</w:t>
      </w:r>
      <w:r>
        <w:rPr>
          <w:rStyle w:val="Strong"/>
          <w:color w:val="000000"/>
          <w:sz w:val="30"/>
          <w:szCs w:val="30"/>
        </w:rPr>
        <w:t>ặ</w:t>
      </w:r>
      <w:r>
        <w:rPr>
          <w:rStyle w:val="Strong"/>
          <w:color w:val="000000"/>
          <w:sz w:val="30"/>
          <w:szCs w:val="30"/>
        </w:rPr>
        <w:t>ng chi phí tuân th</w:t>
      </w:r>
      <w:r>
        <w:rPr>
          <w:rStyle w:val="Strong"/>
          <w:color w:val="000000"/>
          <w:sz w:val="30"/>
          <w:szCs w:val="30"/>
        </w:rPr>
        <w:t>ủ</w:t>
      </w:r>
      <w:r>
        <w:rPr>
          <w:rStyle w:val="Strong"/>
          <w:color w:val="000000"/>
          <w:sz w:val="30"/>
          <w:szCs w:val="30"/>
        </w:rPr>
        <w:t>; chưa có quy đ</w:t>
      </w:r>
      <w:r>
        <w:rPr>
          <w:rStyle w:val="Strong"/>
          <w:color w:val="000000"/>
          <w:sz w:val="30"/>
          <w:szCs w:val="30"/>
        </w:rPr>
        <w:t>ị</w:t>
      </w:r>
      <w:r>
        <w:rPr>
          <w:rStyle w:val="Strong"/>
          <w:color w:val="000000"/>
          <w:sz w:val="30"/>
          <w:szCs w:val="30"/>
        </w:rPr>
        <w:t>nh ho</w:t>
      </w:r>
      <w:r>
        <w:rPr>
          <w:rStyle w:val="Strong"/>
          <w:color w:val="000000"/>
          <w:sz w:val="30"/>
          <w:szCs w:val="30"/>
        </w:rPr>
        <w:t>ặ</w:t>
      </w:r>
      <w:r>
        <w:rPr>
          <w:rStyle w:val="Strong"/>
          <w:color w:val="000000"/>
          <w:sz w:val="30"/>
          <w:szCs w:val="30"/>
        </w:rPr>
        <w:t>c có quy đ</w:t>
      </w:r>
      <w:r>
        <w:rPr>
          <w:rStyle w:val="Strong"/>
          <w:color w:val="000000"/>
          <w:sz w:val="30"/>
          <w:szCs w:val="30"/>
        </w:rPr>
        <w:t>ị</w:t>
      </w:r>
      <w:r>
        <w:rPr>
          <w:rStyle w:val="Strong"/>
          <w:color w:val="000000"/>
          <w:sz w:val="30"/>
          <w:szCs w:val="30"/>
        </w:rPr>
        <w:t>nh c</w:t>
      </w:r>
      <w:r>
        <w:rPr>
          <w:rStyle w:val="Strong"/>
          <w:color w:val="000000"/>
          <w:sz w:val="30"/>
          <w:szCs w:val="30"/>
        </w:rPr>
        <w:t>ủ</w:t>
      </w:r>
      <w:r>
        <w:rPr>
          <w:rStyle w:val="Strong"/>
          <w:color w:val="000000"/>
          <w:sz w:val="30"/>
          <w:szCs w:val="30"/>
        </w:rPr>
        <w:t>a VBQPPL nhưng h</w:t>
      </w:r>
      <w:r>
        <w:rPr>
          <w:rStyle w:val="Strong"/>
          <w:color w:val="000000"/>
          <w:sz w:val="30"/>
          <w:szCs w:val="30"/>
        </w:rPr>
        <w:t>ạ</w:t>
      </w:r>
      <w:r>
        <w:rPr>
          <w:rStyle w:val="Strong"/>
          <w:color w:val="000000"/>
          <w:sz w:val="30"/>
          <w:szCs w:val="30"/>
        </w:rPr>
        <w:t>n ch</w:t>
      </w:r>
      <w:r>
        <w:rPr>
          <w:rStyle w:val="Strong"/>
          <w:color w:val="000000"/>
          <w:sz w:val="30"/>
          <w:szCs w:val="30"/>
        </w:rPr>
        <w:t>ế</w:t>
      </w:r>
      <w:r>
        <w:rPr>
          <w:rStyle w:val="Strong"/>
          <w:color w:val="000000"/>
          <w:sz w:val="30"/>
          <w:szCs w:val="30"/>
        </w:rPr>
        <w:t xml:space="preserve"> vi</w:t>
      </w:r>
      <w:r>
        <w:rPr>
          <w:rStyle w:val="Strong"/>
          <w:color w:val="000000"/>
          <w:sz w:val="30"/>
          <w:szCs w:val="30"/>
        </w:rPr>
        <w:t>ệ</w:t>
      </w:r>
      <w:r>
        <w:rPr>
          <w:rStyle w:val="Strong"/>
          <w:color w:val="000000"/>
          <w:sz w:val="30"/>
          <w:szCs w:val="30"/>
        </w:rPr>
        <w:t>c đ</w:t>
      </w:r>
      <w:r>
        <w:rPr>
          <w:rStyle w:val="Strong"/>
          <w:color w:val="000000"/>
          <w:sz w:val="30"/>
          <w:szCs w:val="30"/>
        </w:rPr>
        <w:t>ổ</w:t>
      </w:r>
      <w:r>
        <w:rPr>
          <w:rStyle w:val="Strong"/>
          <w:color w:val="000000"/>
          <w:sz w:val="30"/>
          <w:szCs w:val="30"/>
        </w:rPr>
        <w:t>i m</w:t>
      </w:r>
      <w:r>
        <w:rPr>
          <w:rStyle w:val="Strong"/>
          <w:color w:val="000000"/>
          <w:sz w:val="30"/>
          <w:szCs w:val="30"/>
        </w:rPr>
        <w:t>ớ</w:t>
      </w:r>
      <w:r>
        <w:rPr>
          <w:rStyle w:val="Strong"/>
          <w:color w:val="000000"/>
          <w:sz w:val="30"/>
          <w:szCs w:val="30"/>
        </w:rPr>
        <w:t>i sáng t</w:t>
      </w:r>
      <w:r>
        <w:rPr>
          <w:rStyle w:val="Strong"/>
          <w:color w:val="000000"/>
          <w:sz w:val="30"/>
          <w:szCs w:val="30"/>
        </w:rPr>
        <w:t>ạ</w:t>
      </w:r>
      <w:r>
        <w:rPr>
          <w:rStyle w:val="Strong"/>
          <w:color w:val="000000"/>
          <w:sz w:val="30"/>
          <w:szCs w:val="30"/>
        </w:rPr>
        <w:t>o, phát tri</w:t>
      </w:r>
      <w:r>
        <w:rPr>
          <w:rStyle w:val="Strong"/>
          <w:color w:val="000000"/>
          <w:sz w:val="30"/>
          <w:szCs w:val="30"/>
        </w:rPr>
        <w:t>ể</w:t>
      </w:r>
      <w:r>
        <w:rPr>
          <w:rStyle w:val="Strong"/>
          <w:color w:val="000000"/>
          <w:sz w:val="30"/>
          <w:szCs w:val="30"/>
        </w:rPr>
        <w:t>n đ</w:t>
      </w:r>
      <w:r>
        <w:rPr>
          <w:rStyle w:val="Strong"/>
          <w:color w:val="000000"/>
          <w:sz w:val="30"/>
          <w:szCs w:val="30"/>
        </w:rPr>
        <w:t>ộ</w:t>
      </w:r>
      <w:r>
        <w:rPr>
          <w:rStyle w:val="Strong"/>
          <w:color w:val="000000"/>
          <w:sz w:val="30"/>
          <w:szCs w:val="30"/>
        </w:rPr>
        <w:t>ng l</w:t>
      </w:r>
      <w:r>
        <w:rPr>
          <w:rStyle w:val="Strong"/>
          <w:color w:val="000000"/>
          <w:sz w:val="30"/>
          <w:szCs w:val="30"/>
        </w:rPr>
        <w:t>ự</w:t>
      </w:r>
      <w:r>
        <w:rPr>
          <w:rStyle w:val="Strong"/>
          <w:color w:val="000000"/>
          <w:sz w:val="30"/>
          <w:szCs w:val="30"/>
        </w:rPr>
        <w:t>c tăng trư</w:t>
      </w:r>
      <w:r>
        <w:rPr>
          <w:rStyle w:val="Strong"/>
          <w:color w:val="000000"/>
          <w:sz w:val="30"/>
          <w:szCs w:val="30"/>
        </w:rPr>
        <w:t>ở</w:t>
      </w:r>
      <w:r>
        <w:rPr>
          <w:rStyle w:val="Strong"/>
          <w:color w:val="000000"/>
          <w:sz w:val="30"/>
          <w:szCs w:val="30"/>
        </w:rPr>
        <w:t>ng m</w:t>
      </w:r>
      <w:r>
        <w:rPr>
          <w:rStyle w:val="Strong"/>
          <w:color w:val="000000"/>
          <w:sz w:val="30"/>
          <w:szCs w:val="30"/>
        </w:rPr>
        <w:t>ớ</w:t>
      </w:r>
      <w:r>
        <w:rPr>
          <w:rStyle w:val="Strong"/>
          <w:color w:val="000000"/>
          <w:sz w:val="30"/>
          <w:szCs w:val="30"/>
        </w:rPr>
        <w:t>i, khơi thông ngu</w:t>
      </w:r>
      <w:r>
        <w:rPr>
          <w:rStyle w:val="Strong"/>
          <w:color w:val="000000"/>
          <w:sz w:val="30"/>
          <w:szCs w:val="30"/>
        </w:rPr>
        <w:t>ồ</w:t>
      </w:r>
      <w:r>
        <w:rPr>
          <w:rStyle w:val="Strong"/>
          <w:color w:val="000000"/>
          <w:sz w:val="30"/>
          <w:szCs w:val="30"/>
        </w:rPr>
        <w:t>n l</w:t>
      </w:r>
      <w:r>
        <w:rPr>
          <w:rStyle w:val="Strong"/>
          <w:color w:val="000000"/>
          <w:sz w:val="30"/>
          <w:szCs w:val="30"/>
        </w:rPr>
        <w:t>ự</w:t>
      </w:r>
      <w:r>
        <w:rPr>
          <w:rStyle w:val="Strong"/>
          <w:color w:val="000000"/>
          <w:sz w:val="30"/>
          <w:szCs w:val="30"/>
        </w:rPr>
        <w:t>c, thúc đ</w:t>
      </w:r>
      <w:r>
        <w:rPr>
          <w:rStyle w:val="Strong"/>
          <w:color w:val="000000"/>
          <w:sz w:val="30"/>
          <w:szCs w:val="30"/>
        </w:rPr>
        <w:t>ẩ</w:t>
      </w:r>
      <w:r>
        <w:rPr>
          <w:rStyle w:val="Strong"/>
          <w:color w:val="000000"/>
          <w:sz w:val="30"/>
          <w:szCs w:val="30"/>
        </w:rPr>
        <w:t>y tăng trư</w:t>
      </w:r>
      <w:r>
        <w:rPr>
          <w:rStyle w:val="Strong"/>
          <w:color w:val="000000"/>
          <w:sz w:val="30"/>
          <w:szCs w:val="30"/>
        </w:rPr>
        <w:t>ở</w:t>
      </w:r>
      <w:r>
        <w:rPr>
          <w:rStyle w:val="Strong"/>
          <w:color w:val="000000"/>
          <w:sz w:val="30"/>
          <w:szCs w:val="30"/>
        </w:rPr>
        <w:t>ng kinh t</w:t>
      </w:r>
      <w:r>
        <w:rPr>
          <w:rStyle w:val="Strong"/>
          <w:color w:val="000000"/>
          <w:sz w:val="30"/>
          <w:szCs w:val="30"/>
        </w:rPr>
        <w:t>ế</w:t>
      </w:r>
      <w:r>
        <w:rPr>
          <w:rStyle w:val="Strong"/>
          <w:color w:val="000000"/>
          <w:sz w:val="30"/>
          <w:szCs w:val="30"/>
        </w:rPr>
        <w:t xml:space="preserve"> và h</w:t>
      </w:r>
      <w:r>
        <w:rPr>
          <w:rStyle w:val="Strong"/>
          <w:color w:val="000000"/>
          <w:sz w:val="30"/>
          <w:szCs w:val="30"/>
        </w:rPr>
        <w:t>ộ</w:t>
      </w:r>
      <w:r>
        <w:rPr>
          <w:rStyle w:val="Strong"/>
          <w:color w:val="000000"/>
          <w:sz w:val="30"/>
          <w:szCs w:val="30"/>
        </w:rPr>
        <w:t>i nh</w:t>
      </w:r>
      <w:r>
        <w:rPr>
          <w:rStyle w:val="Strong"/>
          <w:color w:val="000000"/>
          <w:sz w:val="30"/>
          <w:szCs w:val="30"/>
        </w:rPr>
        <w:t>ậ</w:t>
      </w:r>
      <w:r>
        <w:rPr>
          <w:rStyle w:val="Strong"/>
          <w:color w:val="000000"/>
          <w:sz w:val="30"/>
          <w:szCs w:val="30"/>
        </w:rPr>
        <w:t xml:space="preserve">p </w:t>
      </w:r>
      <w:r>
        <w:rPr>
          <w:rStyle w:val="Strong"/>
          <w:color w:val="000000"/>
          <w:sz w:val="30"/>
          <w:szCs w:val="30"/>
        </w:rPr>
        <w:t>qu</w:t>
      </w:r>
      <w:r>
        <w:rPr>
          <w:rStyle w:val="Strong"/>
          <w:color w:val="000000"/>
          <w:sz w:val="30"/>
          <w:szCs w:val="30"/>
        </w:rPr>
        <w:t>ố</w:t>
      </w:r>
      <w:r>
        <w:rPr>
          <w:rStyle w:val="Strong"/>
          <w:color w:val="000000"/>
          <w:sz w:val="30"/>
          <w:szCs w:val="30"/>
        </w:rPr>
        <w:t>c t</w:t>
      </w:r>
      <w:r>
        <w:rPr>
          <w:rStyle w:val="Strong"/>
          <w:color w:val="000000"/>
          <w:sz w:val="30"/>
          <w:szCs w:val="30"/>
        </w:rPr>
        <w:t>ế</w:t>
      </w:r>
    </w:p>
    <w:p w:rsidR="00000000" w:rsidRDefault="00C12CCE">
      <w:pPr>
        <w:pStyle w:val="NormalWeb"/>
        <w:jc w:val="center"/>
        <w:divId w:val="1732801749"/>
        <w:rPr>
          <w:color w:val="000000"/>
        </w:rPr>
      </w:pPr>
      <w:r>
        <w:rPr>
          <w:color w:val="000000"/>
        </w:rPr>
        <w:t>B</w:t>
      </w:r>
      <w:r>
        <w:rPr>
          <w:color w:val="000000"/>
        </w:rPr>
        <w:t>ộ</w:t>
      </w:r>
      <w:r>
        <w:rPr>
          <w:color w:val="000000"/>
        </w:rPr>
        <w:t>, ngành, cơ quan, đơn v</w:t>
      </w:r>
      <w:r>
        <w:rPr>
          <w:color w:val="000000"/>
        </w:rPr>
        <w:t>ị</w:t>
      </w:r>
      <w:r>
        <w:rPr>
          <w:color w:val="000000"/>
        </w:rPr>
        <w:t xml:space="preserve"> thu</w:t>
      </w:r>
      <w:r>
        <w:rPr>
          <w:color w:val="000000"/>
        </w:rPr>
        <w:t>ộ</w:t>
      </w:r>
      <w:r>
        <w:rPr>
          <w:color w:val="000000"/>
        </w:rPr>
        <w:t>c B</w:t>
      </w:r>
      <w:r>
        <w:rPr>
          <w:color w:val="000000"/>
        </w:rPr>
        <w:t>ộ</w:t>
      </w:r>
      <w:r>
        <w:rPr>
          <w:color w:val="000000"/>
        </w:rPr>
        <w:t xml:space="preserve"> Tư pháp cho ý ki</w:t>
      </w:r>
      <w:r>
        <w:rPr>
          <w:color w:val="000000"/>
        </w:rPr>
        <w:t>ế</w:t>
      </w:r>
      <w:r>
        <w:rPr>
          <w:color w:val="000000"/>
        </w:rPr>
        <w:t>n:…………………………</w:t>
      </w:r>
    </w:p>
    <w:p w:rsidR="00000000" w:rsidRDefault="00C12CCE">
      <w:pPr>
        <w:pStyle w:val="NormalWeb"/>
        <w:jc w:val="center"/>
        <w:divId w:val="1732801749"/>
        <w:rPr>
          <w:color w:val="000000"/>
        </w:rPr>
      </w:pPr>
      <w:r>
        <w:rPr>
          <w:rStyle w:val="Emphasis"/>
          <w:color w:val="000000"/>
        </w:rPr>
        <w:t>(Kèm theo Báo cáo s</w:t>
      </w:r>
      <w:r>
        <w:rPr>
          <w:rStyle w:val="Emphasis"/>
          <w:color w:val="000000"/>
        </w:rPr>
        <w:t>ố</w:t>
      </w:r>
      <w:r>
        <w:rPr>
          <w:rStyle w:val="Emphasis"/>
          <w:color w:val="000000"/>
        </w:rPr>
        <w:t>…… ngày …….c</w:t>
      </w:r>
      <w:r>
        <w:rPr>
          <w:rStyle w:val="Emphasis"/>
          <w:color w:val="000000"/>
        </w:rPr>
        <w:t>ủ</w:t>
      </w:r>
      <w:r>
        <w:rPr>
          <w:rStyle w:val="Emphasis"/>
          <w:color w:val="000000"/>
        </w:rPr>
        <w:t>a…………..)</w:t>
      </w:r>
    </w:p>
    <w:p w:rsidR="00000000" w:rsidRDefault="00C12CCE">
      <w:pPr>
        <w:pStyle w:val="NormalWeb"/>
        <w:jc w:val="center"/>
        <w:divId w:val="1732801749"/>
        <w:rPr>
          <w:color w:val="000000"/>
        </w:rPr>
      </w:pPr>
      <w:r>
        <w:rPr>
          <w:rStyle w:val="Emphasis"/>
          <w:color w:val="000000"/>
        </w:rPr>
        <w:t>___________________</w:t>
      </w:r>
    </w:p>
    <w:p w:rsidR="00000000" w:rsidRDefault="00C12CCE">
      <w:pPr>
        <w:pStyle w:val="Heading3"/>
        <w:jc w:val="center"/>
        <w:divId w:val="1446071608"/>
        <w:rPr>
          <w:rFonts w:ascii="FontAwesome" w:eastAsia="Times New Roman" w:hAnsi="FontAwesome"/>
          <w:caps/>
          <w:vanish/>
          <w:color w:val="000000"/>
          <w:sz w:val="36"/>
          <w:szCs w:val="36"/>
        </w:rPr>
      </w:pPr>
      <w:r>
        <w:rPr>
          <w:rFonts w:ascii="FontAwesome" w:eastAsia="Times New Roman" w:hAnsi="FontAwesome"/>
          <w:caps/>
          <w:vanish/>
          <w:color w:val="000000"/>
          <w:sz w:val="36"/>
          <w:szCs w:val="36"/>
        </w:rPr>
        <w:t>Tiêu chí 3 - Quy định của VBQPPL tạo gánh nặng chi phí tuân thủ; chưa có quy định hoặc có quy định của văn bản QPPL nhưn</w:t>
      </w:r>
      <w:r>
        <w:rPr>
          <w:rFonts w:ascii="FontAwesome" w:eastAsia="Times New Roman" w:hAnsi="FontAwesome"/>
          <w:caps/>
          <w:vanish/>
          <w:color w:val="000000"/>
          <w:sz w:val="36"/>
          <w:szCs w:val="36"/>
        </w:rPr>
        <w:t>g hạn chế việc đổi mới sáng tạo, phát triển động lực tăng trưởng mới, khơi thông nguồn lực, thúc đẩy tăng trưởng kinh tế và hội nhập quốc tế</w:t>
      </w:r>
    </w:p>
    <w:tbl>
      <w:tblPr>
        <w:tblW w:w="0" w:type="dxa"/>
        <w:tblCellSpacing w:w="0" w:type="dxa"/>
        <w:tblBorders>
          <w:top w:val="outset" w:sz="6" w:space="0" w:color="000000"/>
          <w:left w:val="outset" w:sz="6" w:space="0" w:color="000000"/>
          <w:bottom w:val="outset" w:sz="6" w:space="0" w:color="000000"/>
          <w:right w:val="outset" w:sz="6" w:space="0" w:color="000000"/>
        </w:tblBorders>
        <w:tblCellMar>
          <w:top w:w="15" w:type="dxa"/>
          <w:left w:w="15" w:type="dxa"/>
          <w:bottom w:w="15" w:type="dxa"/>
          <w:right w:w="15" w:type="dxa"/>
        </w:tblCellMar>
        <w:tblLook w:val="04A0" w:firstRow="1" w:lastRow="0" w:firstColumn="1" w:lastColumn="0" w:noHBand="0" w:noVBand="1"/>
      </w:tblPr>
      <w:tblGrid>
        <w:gridCol w:w="571"/>
        <w:gridCol w:w="2419"/>
        <w:gridCol w:w="3762"/>
        <w:gridCol w:w="1159"/>
        <w:gridCol w:w="1159"/>
        <w:gridCol w:w="2461"/>
        <w:gridCol w:w="646"/>
        <w:gridCol w:w="843"/>
      </w:tblGrid>
      <w:tr w:rsidR="00000000">
        <w:trPr>
          <w:divId w:val="1362127311"/>
          <w:tblHeade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C12CCE">
            <w:pPr>
              <w:jc w:val="center"/>
              <w:rPr>
                <w:rFonts w:ascii="Times" w:eastAsia="Times New Roman" w:hAnsi="Times"/>
                <w:b/>
                <w:bCs/>
                <w:sz w:val="27"/>
                <w:szCs w:val="27"/>
              </w:rPr>
            </w:pPr>
            <w:r>
              <w:rPr>
                <w:rFonts w:ascii="Times" w:eastAsia="Times New Roman" w:hAnsi="Times"/>
                <w:b/>
                <w:bCs/>
                <w:sz w:val="27"/>
                <w:szCs w:val="27"/>
              </w:rPr>
              <w:lastRenderedPageBreak/>
              <w:t>STT</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C12CCE">
            <w:pPr>
              <w:jc w:val="center"/>
              <w:rPr>
                <w:rFonts w:ascii="Times" w:eastAsia="Times New Roman" w:hAnsi="Times"/>
                <w:b/>
                <w:bCs/>
                <w:sz w:val="27"/>
                <w:szCs w:val="27"/>
              </w:rPr>
            </w:pPr>
            <w:r>
              <w:rPr>
                <w:rFonts w:ascii="Times" w:eastAsia="Times New Roman" w:hAnsi="Times"/>
                <w:b/>
                <w:bCs/>
                <w:sz w:val="27"/>
                <w:szCs w:val="27"/>
              </w:rPr>
              <w:t>Điều, khoản, điểm, tên văn bản đề xuất xử lý</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C12CCE">
            <w:pPr>
              <w:jc w:val="center"/>
              <w:rPr>
                <w:rFonts w:ascii="Times" w:eastAsia="Times New Roman" w:hAnsi="Times"/>
                <w:b/>
                <w:bCs/>
                <w:sz w:val="27"/>
                <w:szCs w:val="27"/>
              </w:rPr>
            </w:pPr>
            <w:r>
              <w:rPr>
                <w:rFonts w:ascii="Times" w:eastAsia="Times New Roman" w:hAnsi="Times"/>
                <w:b/>
                <w:bCs/>
                <w:sz w:val="27"/>
                <w:szCs w:val="27"/>
              </w:rPr>
              <w:t xml:space="preserve">Nội dung quy định được phản ánh tạo gánh nặng chi phí tuân </w:t>
            </w:r>
            <w:r>
              <w:rPr>
                <w:rFonts w:ascii="Times" w:eastAsia="Times New Roman" w:hAnsi="Times"/>
                <w:b/>
                <w:bCs/>
                <w:sz w:val="27"/>
                <w:szCs w:val="27"/>
              </w:rPr>
              <w:t>thủ; chưa có quy định hoặc có quy định của VBQPPL nhưng hạn chế việc đổi mới sáng tạo, phát triển động lực tăng trưởng mới, khơi thông nguồn lực, thúc đẩy tăng trưởng kinh tế và hội nhập quốc tế</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C12CCE">
            <w:pPr>
              <w:jc w:val="center"/>
              <w:rPr>
                <w:rFonts w:ascii="Times" w:eastAsia="Times New Roman" w:hAnsi="Times"/>
                <w:b/>
                <w:bCs/>
                <w:sz w:val="27"/>
                <w:szCs w:val="27"/>
              </w:rPr>
            </w:pPr>
            <w:r>
              <w:rPr>
                <w:rFonts w:ascii="Times" w:eastAsia="Times New Roman" w:hAnsi="Times"/>
                <w:b/>
                <w:bCs/>
                <w:sz w:val="27"/>
                <w:szCs w:val="27"/>
              </w:rPr>
              <w:t>Phương án xử lý được đề xuất</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C12CCE">
            <w:pPr>
              <w:jc w:val="center"/>
              <w:rPr>
                <w:rFonts w:ascii="Times" w:eastAsia="Times New Roman" w:hAnsi="Times"/>
                <w:b/>
                <w:bCs/>
                <w:sz w:val="27"/>
                <w:szCs w:val="27"/>
              </w:rPr>
            </w:pPr>
            <w:r>
              <w:rPr>
                <w:rFonts w:ascii="Times" w:eastAsia="Times New Roman" w:hAnsi="Times"/>
                <w:b/>
                <w:bCs/>
                <w:sz w:val="27"/>
                <w:szCs w:val="27"/>
              </w:rPr>
              <w:t>Cơ quan, tổ chức rà soát, phản ánh</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C12CCE">
            <w:pPr>
              <w:jc w:val="center"/>
              <w:rPr>
                <w:rFonts w:ascii="Times" w:eastAsia="Times New Roman" w:hAnsi="Times"/>
                <w:b/>
                <w:bCs/>
                <w:sz w:val="27"/>
                <w:szCs w:val="27"/>
              </w:rPr>
            </w:pPr>
            <w:r>
              <w:rPr>
                <w:rFonts w:ascii="Times" w:eastAsia="Times New Roman" w:hAnsi="Times"/>
                <w:b/>
                <w:bCs/>
                <w:sz w:val="27"/>
                <w:szCs w:val="27"/>
              </w:rPr>
              <w:t>Ý kiến của Bộ, ngành, cơ quan về nội dung rà soát, phản ánh</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C12CCE">
            <w:pPr>
              <w:jc w:val="center"/>
              <w:rPr>
                <w:rFonts w:ascii="Times" w:eastAsia="Times New Roman" w:hAnsi="Times"/>
                <w:b/>
                <w:bCs/>
                <w:sz w:val="27"/>
                <w:szCs w:val="27"/>
              </w:rPr>
            </w:pPr>
            <w:r>
              <w:rPr>
                <w:rFonts w:ascii="Times" w:eastAsia="Times New Roman" w:hAnsi="Times"/>
                <w:b/>
                <w:bCs/>
                <w:sz w:val="27"/>
                <w:szCs w:val="27"/>
              </w:rPr>
              <w:t>Ý kiến của Bộ Tư pháp về nội dung rà soát, phản ánh</w:t>
            </w:r>
          </w:p>
        </w:tc>
        <w:tc>
          <w:tcPr>
            <w:tcW w:w="0" w:type="auto"/>
            <w:tcBorders>
              <w:top w:val="outset" w:sz="6" w:space="0" w:color="auto"/>
              <w:left w:val="outset" w:sz="6" w:space="0" w:color="auto"/>
              <w:bottom w:val="outset" w:sz="6" w:space="0" w:color="auto"/>
              <w:right w:val="outset" w:sz="6" w:space="0" w:color="auto"/>
            </w:tcBorders>
            <w:vAlign w:val="center"/>
            <w:hideMark/>
          </w:tcPr>
          <w:p w:rsidR="00000000" w:rsidRDefault="00C12CCE">
            <w:pPr>
              <w:jc w:val="center"/>
              <w:rPr>
                <w:rFonts w:ascii="Times" w:eastAsia="Times New Roman" w:hAnsi="Times"/>
                <w:b/>
                <w:bCs/>
                <w:sz w:val="27"/>
                <w:szCs w:val="27"/>
              </w:rPr>
            </w:pPr>
            <w:r>
              <w:rPr>
                <w:rFonts w:ascii="Times" w:eastAsia="Times New Roman" w:hAnsi="Times"/>
                <w:b/>
                <w:bCs/>
                <w:sz w:val="27"/>
                <w:szCs w:val="27"/>
              </w:rPr>
              <w:t>Thời gian cập nhật</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Khoản 2 Điều 15, khoản 2 Điều 19 Luật An toàn thông tin mạng ngày 19/11</w:t>
            </w:r>
            <w:r>
              <w:rPr>
                <w:rFonts w:ascii="Times" w:eastAsia="Times New Roman" w:hAnsi="Times"/>
              </w:rPr>
              <w:t>/2015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Tại khoản 2 Điều 15 quy định: “Cơ quan, tổ chức, cá nhân sử dụng dịch vụ trên mạng có trách nhiệm thông báo kịp thời cho doanh nghiệp cung cấp dịch vụ hoặc bộ phận chuyên trách ứng cứu sự cố khi phát hiện các hành vi phá hoại hoặc sự cố an toàn thông tin m</w:t>
            </w:r>
            <w:r>
              <w:rPr>
                <w:rFonts w:ascii="Times" w:eastAsia="Times New Roman" w:hAnsi="Times"/>
              </w:rPr>
              <w:t>ạng”. Tại khoản 2 Điều 19 quy định: “Khi xảy ra hoặc có nguy cơ xảy ra sự cố an toàn thông tin mạng, tổ chức, cá nhân xử lý thông tin cá nhân cần áp dụng biện pháp khắc phục, ngăn chặn trong thời gian sớm nhất”. Như vậy, Luật chưa quy định cụ thể thời gian</w:t>
            </w:r>
            <w:r>
              <w:rPr>
                <w:rFonts w:ascii="Times" w:eastAsia="Times New Roman" w:hAnsi="Times"/>
              </w:rPr>
              <w:t xml:space="preserve"> (kể từ khi phát hiện hành vi phá hoại hoặc sự cố an toàn thông tin mạng; thời </w:t>
            </w:r>
            <w:r>
              <w:rPr>
                <w:rFonts w:ascii="Times" w:eastAsia="Times New Roman" w:hAnsi="Times"/>
              </w:rPr>
              <w:lastRenderedPageBreak/>
              <w:t xml:space="preserve">gian sớm nhất là bao lâu), trình tự, thủ tục xử lý sự cố an toàn thông tin mạng, dẫn đến việc xử lý sự cố còn chậm trễ, thiếu hiệu quả. Do vậy, đề nghị sửa đổi, bổ sung các quy </w:t>
            </w:r>
            <w:r>
              <w:rPr>
                <w:rFonts w:ascii="Times" w:eastAsia="Times New Roman" w:hAnsi="Times"/>
              </w:rPr>
              <w:t>định cụ thể về thời gian, trình tự, thủ tục xử lý sự cố an toàn thông tin mạng tại Luật An toàn thông tin mạng năm 2015 và các văn bản hướng dẫn thi hành Luật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C. Sửa đổi, bổ sung, thay thế, ban hành mới VBQPPL (theo trình tự, thủ tục rút gọn ban hành VBQP</w:t>
            </w:r>
            <w:r>
              <w:rPr>
                <w:rFonts w:ascii="Times" w:eastAsia="Times New Roman" w:hAnsi="Times"/>
              </w:rPr>
              <w:t>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Sở Tư pháp tỉnh Điện Biên</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16-07-2025 16:58:59</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2</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Điều 11 Luật Bảo vệ bí mật nhà nước</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Tại Điều 11 Luật Bảo vệ bí mật nhà nước quy định về “sao, chụp tài liệu, vật chứa bí mật nhà nước”, người có thẩm quyền cho phép sao, chụp bí mật nhà nước không có thành phần Chủ tịch UBND cấp </w:t>
            </w:r>
            <w:r>
              <w:rPr>
                <w:rFonts w:ascii="Times" w:eastAsia="Times New Roman" w:hAnsi="Times"/>
              </w:rPr>
              <w:lastRenderedPageBreak/>
              <w:t>xã, Chỉ huy Công an cấp xã. Thực tế hiện nay, Chủ tịch UBND cấp</w:t>
            </w:r>
            <w:r>
              <w:rPr>
                <w:rFonts w:ascii="Times" w:eastAsia="Times New Roman" w:hAnsi="Times"/>
              </w:rPr>
              <w:t xml:space="preserve"> xã, Chỉ huy Công an cấp xã hàng ngày tiếp nhận nhiều văn bản có nội dung bí mật nhà nước cả bản giấy và bản điện tử cần sao, chụp để triển khai thực hiện. Do đó dẫn đến quá trình lãnh đạo, chỉ đạo và tổ chức thực hiện gặp nhiều khó khăn.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C. Sửa đổi, bổ s</w:t>
            </w:r>
            <w:r>
              <w:rPr>
                <w:rFonts w:ascii="Times" w:eastAsia="Times New Roman" w:hAnsi="Times"/>
              </w:rPr>
              <w:t xml:space="preserve">ung, thay thế, ban hành mới </w:t>
            </w:r>
            <w:r>
              <w:rPr>
                <w:rFonts w:ascii="Times" w:eastAsia="Times New Roman" w:hAnsi="Times"/>
              </w:rPr>
              <w:lastRenderedPageBreak/>
              <w:t>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Sở Tư pháp tỉnh Thanh Hóa</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16-07-2025 16:21:31</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3</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Khoản 2 Điều 15, khoản 2 Điều 19 Luật An toàn thông tin mạng năm 2015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Tại khoản 2</w:t>
            </w:r>
            <w:r>
              <w:rPr>
                <w:rFonts w:ascii="Times" w:eastAsia="Times New Roman" w:hAnsi="Times"/>
              </w:rPr>
              <w:t xml:space="preserve"> Điều 15 quy định: “Cơ quan, tổ chức, cá nhân sử dụng dịch vụ trên mạng có trách nhiệm thông báo kịp thời cho doanh nghiệp cung cấp dịch vụ hoặc bộ phận chuyên trách ứng cứu sự cố </w:t>
            </w:r>
            <w:r>
              <w:rPr>
                <w:rFonts w:ascii="Times" w:eastAsia="Times New Roman" w:hAnsi="Times"/>
              </w:rPr>
              <w:lastRenderedPageBreak/>
              <w:t>khi phát hiện các hành vi phá hoại hoặc sự cố an toàn thông tin mạng”. - Tại</w:t>
            </w:r>
            <w:r>
              <w:rPr>
                <w:rFonts w:ascii="Times" w:eastAsia="Times New Roman" w:hAnsi="Times"/>
              </w:rPr>
              <w:t xml:space="preserve"> khoản 2 Điều 19 quy định: “Khi xảy ra hoặc có nguy cơ xảy ra sự cố an toàn thông tin mạng, tổ chức, cá nhân xử lý thông tin cá nhân cần áp dụng biện pháp khắc phục, ngăn chặn trong thời gian sớm nhất”. Như vậy, Luật chưa quy định cụ thể thời gian (kể từ k</w:t>
            </w:r>
            <w:r>
              <w:rPr>
                <w:rFonts w:ascii="Times" w:eastAsia="Times New Roman" w:hAnsi="Times"/>
              </w:rPr>
              <w:t>hi phát hiện hành vi phá hoại hoặc sự cố an toàn thông tin mạng; thời gian sớm nhất là bao lâu), trình tự, thủ tục xử lý sự cố an toàn thông tin mạng, dẫn đến việc xử lý sự cố còn chậm trễ, thiếu hiệu quả.</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thay thế, ban hành mới </w:t>
            </w:r>
            <w:r>
              <w:rPr>
                <w:rFonts w:ascii="Times" w:eastAsia="Times New Roman" w:hAnsi="Times"/>
              </w:rPr>
              <w:lastRenderedPageBreak/>
              <w:t>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Sở Tư pháp tỉnh Sơn La</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16-07-2025 14:51:38</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4</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Luật An ninh mạng năm 2018</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Hiện nay, Luật An ninh mạng và các văn bản liên quan chưa có quy định cụ thể về việc bắt buộc sử dụng định danh điện tử trong các hoạt động tài chính - ngân hàng để phòng, chống lừa đảo trên không gian mạng. Trong khi đó, hành vi lừa đảo qua mạng đang diễn</w:t>
            </w:r>
            <w:r>
              <w:rPr>
                <w:rFonts w:ascii="Times" w:eastAsia="Times New Roman" w:hAnsi="Times"/>
              </w:rPr>
              <w:t xml:space="preserve"> ra phổ biến, chủ yếu thực hiện thông qua tài khoản ngân hàng không xác thực chính chủ. Việc thiếu quy định phối hợp chặt chẽ giữa cơ quan quản lý an ninh mạng và hệ thống ngân hàng thương mại khiến công tác truy vết, xử lý tội phạm gặp khó khăn. Do đó, cầ</w:t>
            </w:r>
            <w:r>
              <w:rPr>
                <w:rFonts w:ascii="Times" w:eastAsia="Times New Roman" w:hAnsi="Times"/>
              </w:rPr>
              <w:t xml:space="preserve">n có quy định cụ thể về nghĩa vụ phối hợp của các tổ chức tín dụng trong phòng, chống </w:t>
            </w:r>
            <w:r>
              <w:rPr>
                <w:rFonts w:ascii="Times" w:eastAsia="Times New Roman" w:hAnsi="Times"/>
              </w:rPr>
              <w:lastRenderedPageBreak/>
              <w:t>lừa đảo mạng; yêu cầu sử dụng định danh điện tử mức độ 1, 2 khi đăng nhập ứng dụng ngân hàng và thực hiện giao dịch theo hạn mức. Đồng thời, bổ sung trách nhiệm xác thực,</w:t>
            </w:r>
            <w:r>
              <w:rPr>
                <w:rFonts w:ascii="Times" w:eastAsia="Times New Roman" w:hAnsi="Times"/>
              </w:rPr>
              <w:t xml:space="preserve"> lưu trữ và cung cấp thông tin người dùng ngân hàng khi có yêu cầu điều tra.</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C. Sửa đổi, bổ sung, 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Sở Tư pháp tỉnh Hải Phòng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16-07-2025 10:41:30</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5</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Nghị định số 106/2025/NĐ-CP ngày 15/5/2025 của Chính phủ quy định xử phạt vi phạm hành chính trong lĩnh vực phòng cháy, chữa cháy và </w:t>
            </w:r>
            <w:r>
              <w:rPr>
                <w:rFonts w:ascii="Times" w:eastAsia="Times New Roman" w:hAnsi="Times"/>
              </w:rPr>
              <w:lastRenderedPageBreak/>
              <w:t>cứu nạn, cứu hộ</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Chưa có quy định cụ thể để xác định “vi phạm hành chính nhiều lần” trong lĩnh vực phòng cháy, c</w:t>
            </w:r>
            <w:r>
              <w:rPr>
                <w:rFonts w:ascii="Times" w:eastAsia="Times New Roman" w:hAnsi="Times"/>
              </w:rPr>
              <w:t>hữa cháy và cứu nạn, cứu hộ (ví dụ: vi phạm tại nhiều hạng mục công trình thì chỉ phạt 1 lần hay xử phạt đối với từng hạng mục;…)</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B. Hướng dẫn áp dụng VBQPPL theo quy định tại Điều 61 Luật Ban </w:t>
            </w:r>
            <w:r>
              <w:rPr>
                <w:rFonts w:ascii="Times" w:eastAsia="Times New Roman" w:hAnsi="Times"/>
              </w:rPr>
              <w:lastRenderedPageBreak/>
              <w:t>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Sở Tư pháp tỉnh Hải Phòng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16-07-2025 10:41:30</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6</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Điều 11 Luật Bảo vệ bí mật nhà nước</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Tại Điều 11 Luật Bảo vệ bí mật nhà nước quy định về “sao, chụp tài liệu, vật chứa bí mật nhà nước”, người có thẩm quyền cho phép sao, chụp bí mật nhà nước không có thành phần Chủ tịch UB</w:t>
            </w:r>
            <w:r>
              <w:rPr>
                <w:rFonts w:ascii="Times" w:eastAsia="Times New Roman" w:hAnsi="Times"/>
              </w:rPr>
              <w:t xml:space="preserve">ND cấp xã, Chỉ huy Công an cấp xã. Thực tế hiện nay, Chủ tịch UBND cấp xã, Chỉ huy Công an cấp xã hàng ngày tiếp nhận nhiều văn bản có nội dung bí mật nhà nước cả bản giấy và bản điện tử cần sao, chụp để triển khai thực hiện. Do đó dẫn </w:t>
            </w:r>
            <w:r>
              <w:rPr>
                <w:rFonts w:ascii="Times" w:eastAsia="Times New Roman" w:hAnsi="Times"/>
              </w:rPr>
              <w:lastRenderedPageBreak/>
              <w:t>đến quá trình lãnh đ</w:t>
            </w:r>
            <w:r>
              <w:rPr>
                <w:rFonts w:ascii="Times" w:eastAsia="Times New Roman" w:hAnsi="Times"/>
              </w:rPr>
              <w:t>ạo, chỉ đạo và tổ chức thực hiện gặp nhiều khó khăn.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thay thế, ban hành mới VBQPPL (theo trình tự, thủ tục rút gọn ban hành VBQPPL </w:t>
            </w:r>
            <w:r>
              <w:rPr>
                <w:rFonts w:ascii="Times" w:eastAsia="Times New Roman" w:hAnsi="Times"/>
              </w:rPr>
              <w:lastRenderedPageBreak/>
              <w:t>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Sở Tư pháp tỉnh Hà Tĩnh</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16-07-2025 10:01:53</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7</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Thông tư số 16/2024/TT-BCA ngày 15/5/2024 của Bộ trưởng Bộ Công an quy định về mẫu thẻ căn cước, mẫu giấy chứng nhận căn cước</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Hiện nay, mẫu phôi thẻ căn cước theo quy định tại Thông tư số 16/2024/TT-BCA không có dấu vân tay của cá nhân nên rất khó khăn ch</w:t>
            </w:r>
            <w:r>
              <w:rPr>
                <w:rFonts w:ascii="Times" w:eastAsia="Times New Roman" w:hAnsi="Times"/>
              </w:rPr>
              <w:t>o việc xác minh người yêu cầu công chứng. Bên cạnh đó, việc ghi thông tin trên Giấy chứng nhận đăng ký xe ô tô hiện nay đang có bất cập trong việc xác minh nguồn gốc, thời điểm mua xe. Vì trên mẫu Giấy chứng nhận hiện nay chỉ có thông tin về ngày cấp mà kh</w:t>
            </w:r>
            <w:r>
              <w:rPr>
                <w:rFonts w:ascii="Times" w:eastAsia="Times New Roman" w:hAnsi="Times"/>
              </w:rPr>
              <w:t xml:space="preserve">ông có thông tin về đăng ký lần đầu </w:t>
            </w:r>
            <w:r>
              <w:rPr>
                <w:rFonts w:ascii="Times" w:eastAsia="Times New Roman" w:hAnsi="Times"/>
              </w:rPr>
              <w:lastRenderedPageBreak/>
              <w:t>nên công chứng viên khó khăn trong việc xác định thời điểm mua xe đối với những trường hợp cấp đổi đăng ký xe. Do đó, đề nghị Bộ Tư pháp phối hợp, đề nghị Bộ Công an có phần mềm hướng dẫn, công cụ để tạo thuận tiện cho c</w:t>
            </w:r>
            <w:r>
              <w:rPr>
                <w:rFonts w:ascii="Times" w:eastAsia="Times New Roman" w:hAnsi="Times"/>
              </w:rPr>
              <w:t>ác tổ chức hành nghề công chứng dễ dàng xác định.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thay thế, ban hành mới VBQPPL (theo trình tự, thủ tục rút gọn ban hành VBQPPL </w:t>
            </w:r>
            <w:r>
              <w:rPr>
                <w:rFonts w:ascii="Times" w:eastAsia="Times New Roman" w:hAnsi="Times"/>
              </w:rPr>
              <w:lastRenderedPageBreak/>
              <w:t>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Sở Tư pháp tỉnh Hà Tĩnh</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16-07-2025 10:01:53</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8</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Điều 19, Điểm a khoản 1; điểm a khoản 3 Điều 23, Khoản 1 Điều 21; điểm b khoản 3 Điều 23, điểm b khoản 2 Điều 21; khoản 1 Điều 22; điểm b khoản 3 Điều 23 Nghị định số </w:t>
            </w:r>
            <w:r>
              <w:rPr>
                <w:rFonts w:ascii="Times" w:eastAsia="Times New Roman" w:hAnsi="Times"/>
              </w:rPr>
              <w:lastRenderedPageBreak/>
              <w:t>96/2016/NĐ-CP ngày 01/7/2016 của Chính phủ quy định điều kiện về ANTT đối với một số ngàn</w:t>
            </w:r>
            <w:r>
              <w:rPr>
                <w:rFonts w:ascii="Times" w:eastAsia="Times New Roman" w:hAnsi="Times"/>
              </w:rPr>
              <w:t>h nghề đầu tư kinh doanh có điều kiện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Điều 19: Thời hạn tiếp nhận, giải quyết thủ tục hành chính là 05 ngày làm việc vẫn còn dài, hạn chế việc đổi mới sáng tạo. Thành phần hồ sơ yêu cầu: (1) Bản sao Giấy chứng nhận đăng ký kinh doanh; Giấy chứng nhận đă</w:t>
            </w:r>
            <w:r>
              <w:rPr>
                <w:rFonts w:ascii="Times" w:eastAsia="Times New Roman" w:hAnsi="Times"/>
              </w:rPr>
              <w:t xml:space="preserve">ng ký doanh nghiệp; Giấy chứng nhận đăng ký hoạt </w:t>
            </w:r>
            <w:r>
              <w:rPr>
                <w:rFonts w:ascii="Times" w:eastAsia="Times New Roman" w:hAnsi="Times"/>
              </w:rPr>
              <w:lastRenderedPageBreak/>
              <w:t>động của doanh nghiệp,…; các tài liệu chứng minh các ngành, nghề đầu tư kinh doanh mà cơ sở kinh doanh hoạt động… (2) Bản sao các giấy tờ, tài liệu chứng minh bảo đảm các điều kiện về phòng cháy chữa cháy; (</w:t>
            </w:r>
            <w:r>
              <w:rPr>
                <w:rFonts w:ascii="Times" w:eastAsia="Times New Roman" w:hAnsi="Times"/>
              </w:rPr>
              <w:t>3) Bản khai lý lịch kèm theo Phiếu lý lịch tư pháp hoặc Bản khai nhân sự có thể khai thác dữ liệu này trong dữ liệu dân cư, dữ liệu PCCC, ngành nghề và dữ liệu ngoài ngành, đề nghị không quy định nội dung này vì được chia sẻ với CSDL của Bộ Công an. - Điểm</w:t>
            </w:r>
            <w:r>
              <w:rPr>
                <w:rFonts w:ascii="Times" w:eastAsia="Times New Roman" w:hAnsi="Times"/>
              </w:rPr>
              <w:t xml:space="preserve"> a khoản 1; điểm a khoản 3 Điều 23: Thời hạn tiếp nhận, giải quyết thủ tục hành chính là 04 ngày làm việc vẫn còn </w:t>
            </w:r>
            <w:r>
              <w:rPr>
                <w:rFonts w:ascii="Times" w:eastAsia="Times New Roman" w:hAnsi="Times"/>
              </w:rPr>
              <w:lastRenderedPageBreak/>
              <w:t>dài, hạn chế việc đổi mới sáng tạo. Thành phần hồ sơ yêu cầu: (1) Bản sao hợp lệ các tài liệu chứng minh sự thay đổi của các thông tin ghi trê</w:t>
            </w:r>
            <w:r>
              <w:rPr>
                <w:rFonts w:ascii="Times" w:eastAsia="Times New Roman" w:hAnsi="Times"/>
              </w:rPr>
              <w:t>n Giấy chứng nhận đủ điều kiện về ANTT (nếu có); (2) Bản khai lý lịch kèm theo Phiếu lý lịch tư pháp hoặc Bản khai nhân sự; (3) Bản chính Giấy chứng nhận đủ điều kiện về ANTT đã được cấp có thể khai thác dữ liệu này trong dữ liệu dân cư, dữ liệu PCCC, ngàn</w:t>
            </w:r>
            <w:r>
              <w:rPr>
                <w:rFonts w:ascii="Times" w:eastAsia="Times New Roman" w:hAnsi="Times"/>
              </w:rPr>
              <w:t xml:space="preserve">h nghề và dữ liệu ngoài ngành, đề nghị không quy định nội dung này vì được chia sẻ với CSDL của Bộ Công an. - Khoản 1 Điều 21; điểm b khoản 3 Điều 23, điểm b khoản 2 Điều </w:t>
            </w:r>
            <w:r>
              <w:rPr>
                <w:rFonts w:ascii="Times" w:eastAsia="Times New Roman" w:hAnsi="Times"/>
              </w:rPr>
              <w:lastRenderedPageBreak/>
              <w:t>21; khoản 1 Điều 22; điểm b khoản 3 Điều 23: Thời hạn tiếp nhận, giải quyết thủ tục h</w:t>
            </w:r>
            <w:r>
              <w:rPr>
                <w:rFonts w:ascii="Times" w:eastAsia="Times New Roman" w:hAnsi="Times"/>
              </w:rPr>
              <w:t xml:space="preserve">ành chính là 04 ngày làm việc vẫn còn dài, hạn chế việc đổi mới sáng tạo. - Thành phần hồ sơ yêu cầu: (1) Biên lai nộp tiền phạt khi không thông báo ngay việc mất giấy chứng nhận đủ điều kiện về ANTT; (2) Bản sao hợp lệ các tài liệu bổ sung chứng minh đáp </w:t>
            </w:r>
            <w:r>
              <w:rPr>
                <w:rFonts w:ascii="Times" w:eastAsia="Times New Roman" w:hAnsi="Times"/>
              </w:rPr>
              <w:t>ứng đủ điều kiện để hoạt động có thể khai thác dữ liệu này trong dữ liệu dân cư, dữ liệu PCCC, ngành nghề và dữ liệu ngoài ngành, đề nghị không quy định nội dung này vì được chia sẻ với CSDL của Bộ Công an.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C. Sửa đổi, bổ sung, thay thế, ban hành mới VBQP</w:t>
            </w:r>
            <w:r>
              <w:rPr>
                <w:rFonts w:ascii="Times" w:eastAsia="Times New Roman" w:hAnsi="Times"/>
              </w:rPr>
              <w:t xml:space="preserve">PL (theo trình </w:t>
            </w:r>
            <w:r>
              <w:rPr>
                <w:rFonts w:ascii="Times" w:eastAsia="Times New Roman" w:hAnsi="Times"/>
              </w:rPr>
              <w:lastRenderedPageBreak/>
              <w:t>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Sở Tư pháp tỉnh Cà Mau</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16-07-2025 09:13:19</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9</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Khoản 7 Điều 11, Điều 13, Điểm b khoản 2, điểm b khoản 3 Điều 15, Điều 14 của Nghị định số 99/2016/NĐ-CP ngày 01/7/2016 của Chính phủ quy định về quản lý và sử dụng con dấu</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Khoản 7 Điều 11: Thời hạn 03 ngày làm việc để tiếp nhận, giải quyết thủ tục đăng</w:t>
            </w:r>
            <w:r>
              <w:rPr>
                <w:rFonts w:ascii="Times" w:eastAsia="Times New Roman" w:hAnsi="Times"/>
              </w:rPr>
              <w:t xml:space="preserve"> ký mẫu con dấu còn dài, hạn chế việc đổi mới sáng tạo. - Điều 13: Thành phần hồ sơ yêu cầu “Quyết định thành lập hoặc văn bản quy định về tổ chức, hoạt động của cơ quan có thẩm quyền”; đề nghị không quy định nội dung này vì có thể khai thác dữ liệu này tr</w:t>
            </w:r>
            <w:r>
              <w:rPr>
                <w:rFonts w:ascii="Times" w:eastAsia="Times New Roman" w:hAnsi="Times"/>
              </w:rPr>
              <w:t xml:space="preserve">ong các CSDL được chia sẻ với CSDL của Bộ Công an. - Điểm b khoản 2, điểm b khoản 3 Điều 15: Đối với trường hợp bị mất con dấu, thành phần hồ sơ yêu cầu “Giấy chứng nhận đăng ký mẫu con dấu được cấp trước đó” đề nghị không quy định nội </w:t>
            </w:r>
            <w:r>
              <w:rPr>
                <w:rFonts w:ascii="Times" w:eastAsia="Times New Roman" w:hAnsi="Times"/>
              </w:rPr>
              <w:lastRenderedPageBreak/>
              <w:t>dung này có thể khai</w:t>
            </w:r>
            <w:r>
              <w:rPr>
                <w:rFonts w:ascii="Times" w:eastAsia="Times New Roman" w:hAnsi="Times"/>
              </w:rPr>
              <w:t xml:space="preserve"> thác dữ liệu này trong các CSDL được chia sẻ với CSDL của Bộ Công an. - Điều 14: Thành phần hồ sơ yêu cầu “Văn bản quy định cơ quan, tổ chức, chức danh nhà nước có chức năng cấp văn bằng, chứng chỉ và giấy tờ có dán ảnh hoặc niêm phong tài liệu của cơ qua</w:t>
            </w:r>
            <w:r>
              <w:rPr>
                <w:rFonts w:ascii="Times" w:eastAsia="Times New Roman" w:hAnsi="Times"/>
              </w:rPr>
              <w:t>n có thẩm quyền”, đề nghị không quy định nội dung này vì có thể khai thác dữ liệu này trong các CSDL được chia sẻ với CSDL của Bộ Công an.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C. Sửa đổi, bổ sung, thay thế, ban hành mới VBQPPL (theo trình tự, thủ tục rút gọn ban hành VBQPPL của Luật Ban hành</w:t>
            </w:r>
            <w:r>
              <w:rPr>
                <w:rFonts w:ascii="Times" w:eastAsia="Times New Roman" w:hAnsi="Times"/>
              </w:rPr>
              <w:t xml:space="preserve">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Sở Tư pháp tỉnh Cà Mau</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16-07-2025 09:13:19</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10</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Điểm a, khoản 1, Điều 7; Điểm b khoản 1 Điều 7; Điểm a khoản 3 Điều 7; </w:t>
            </w:r>
            <w:r>
              <w:rPr>
                <w:rFonts w:ascii="Times" w:eastAsia="Times New Roman" w:hAnsi="Times"/>
              </w:rPr>
              <w:lastRenderedPageBreak/>
              <w:t xml:space="preserve">điểm d khoản 1 Điều 14; Khoản 2 Điều 20; Điểm a khoản 3 Điều 22 Thông tư số 79/2024/TT-BCA ngày 15/11/2024 của Bộ trưởng Bộ Công an quy định về cấp, thu hồi chứng nhận đăng ký xe, biển </w:t>
            </w:r>
            <w:r>
              <w:rPr>
                <w:rFonts w:ascii="Times" w:eastAsia="Times New Roman" w:hAnsi="Times"/>
              </w:rPr>
              <w:t>số xe cơ giới, xe máy chuyên dùng</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 Điểm a, khoản 1, Điều 7: Thời hạn tiếp nhận, giải quyết thủ tục hành chính là 02 ngày làm việc vẫn còn dài, hạn chế việc </w:t>
            </w:r>
            <w:r>
              <w:rPr>
                <w:rFonts w:ascii="Times" w:eastAsia="Times New Roman" w:hAnsi="Times"/>
              </w:rPr>
              <w:lastRenderedPageBreak/>
              <w:t>đổi mới sáng tạo. Thành phần hồ sơ yêu cầu nộp lại phiếu kiểm tra chất lượng xuất xưởng hoặc bản i</w:t>
            </w:r>
            <w:r>
              <w:rPr>
                <w:rFonts w:ascii="Times" w:eastAsia="Times New Roman" w:hAnsi="Times"/>
              </w:rPr>
              <w:t>n từ hệ thống cơ sở dữ liệu điện tử có đóng dấu giáp lai của cơ sở sản xuất xe là không cần thiết nếu đã có dữ liệu điện tử. - Điểm b khoản 1 Điều 7: Thời hạn tiếp nhận, giải quyết thủ tục hành chính là 02 ngày làm việc vẫn còn dài, hạn chế việc đổi mới sá</w:t>
            </w:r>
            <w:r>
              <w:rPr>
                <w:rFonts w:ascii="Times" w:eastAsia="Times New Roman" w:hAnsi="Times"/>
              </w:rPr>
              <w:t xml:space="preserve">ng tạo. - Điểm a khoản 3 Điều 7; điểm d khoản 1 Điều 14: Thời hạn tiếp nhận, giải quyết thủ tục hành chính là 02 ngày làm việc vẫn còn dài, hạn chế việc đổi mới sáng tạo. - Khoản 2 Điều 20: Thời hạn tiếp nhận, giải quyết thủ tục hành chính là 02 </w:t>
            </w:r>
            <w:r>
              <w:rPr>
                <w:rFonts w:ascii="Times" w:eastAsia="Times New Roman" w:hAnsi="Times"/>
              </w:rPr>
              <w:lastRenderedPageBreak/>
              <w:t>ngày làm v</w:t>
            </w:r>
            <w:r>
              <w:rPr>
                <w:rFonts w:ascii="Times" w:eastAsia="Times New Roman" w:hAnsi="Times"/>
              </w:rPr>
              <w:t>iệc vẫn còn dài, hạn chế việc đổi mới sáng tạo. Thành phần hồ sơ yêu cầu Giấy xác nhận hồ sơ xe (theo mẫu ĐKX14/79 ban hành kèm theo Thông tư số 13/2025/TT-BCA) là không cần thiết, do có thể khai thác trên CSDL của Công an. - Điểm a khoản 3 Điều 22: Thời h</w:t>
            </w:r>
            <w:r>
              <w:rPr>
                <w:rFonts w:ascii="Times" w:eastAsia="Times New Roman" w:hAnsi="Times"/>
              </w:rPr>
              <w:t>ạn tiếp nhận, giải quyết thủ tục hành chính là 08 giờ làm việc vẫn còn dài, hạn chế việc đổi mới sáng tạo. Thành phần hồ sơ yêu cầu Bản phô tô phiếu kiểm tra chất lượng xuất xưởng hoặc bản phô tô giấy chứng nhận an toàn kỹ thuật và bảo vệ môi trường đối vớ</w:t>
            </w:r>
            <w:r>
              <w:rPr>
                <w:rFonts w:ascii="Times" w:eastAsia="Times New Roman" w:hAnsi="Times"/>
              </w:rPr>
              <w:t xml:space="preserve">i xe nhập khẩu là không cần thiết, do có thể khai thác trên CSDL của </w:t>
            </w:r>
            <w:r>
              <w:rPr>
                <w:rFonts w:ascii="Times" w:eastAsia="Times New Roman" w:hAnsi="Times"/>
              </w:rPr>
              <w:lastRenderedPageBreak/>
              <w:t>Công an.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thay thế, </w:t>
            </w:r>
            <w:r>
              <w:rPr>
                <w:rFonts w:ascii="Times" w:eastAsia="Times New Roman" w:hAnsi="Times"/>
              </w:rPr>
              <w:lastRenderedPageBreak/>
              <w:t>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Sở Tư pháp tỉnh Cà </w:t>
            </w:r>
            <w:r>
              <w:rPr>
                <w:rFonts w:ascii="Times" w:eastAsia="Times New Roman" w:hAnsi="Times"/>
              </w:rPr>
              <w:lastRenderedPageBreak/>
              <w:t>Mau</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 xml:space="preserve">16-07-2025 </w:t>
            </w:r>
            <w:r>
              <w:rPr>
                <w:rFonts w:ascii="Times" w:eastAsia="Times New Roman" w:hAnsi="Times"/>
              </w:rPr>
              <w:lastRenderedPageBreak/>
              <w:t>09:13:19</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11</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Luật An ninh mạng năm 2018</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Hiện nay, Luật An ninh mạng và các văn bản liên quan chưa có quy định cụ thể về việc bắt buộc sử dụng định danh điện tử trong các hoạt động tài chính - ngân hàng để phòng, chống lừa đảo trên không gian mạng. Trong khi đó, hành vi lừa đảo qua mạng đang diễn</w:t>
            </w:r>
            <w:r>
              <w:rPr>
                <w:rFonts w:ascii="Times" w:eastAsia="Times New Roman" w:hAnsi="Times"/>
              </w:rPr>
              <w:t xml:space="preserve"> ra phổ biến, chủ yếu thực hiện thông qua tài khoản ngân hàng không xác thực chính chủ. Việc thiếu quy định phối hợp chặt chẽ giữa cơ quan quản lý an ninh mạng và hệ thống ngân hàng thương mại khiến công tác truy vết, xử lý tội phạm gặp khó khăn. Do đó, cầ</w:t>
            </w:r>
            <w:r>
              <w:rPr>
                <w:rFonts w:ascii="Times" w:eastAsia="Times New Roman" w:hAnsi="Times"/>
              </w:rPr>
              <w:t xml:space="preserve">n có </w:t>
            </w:r>
            <w:r>
              <w:rPr>
                <w:rFonts w:ascii="Times" w:eastAsia="Times New Roman" w:hAnsi="Times"/>
              </w:rPr>
              <w:lastRenderedPageBreak/>
              <w:t>quy định cụ thể về nghĩa vụ phối hợp của các tổ chức tín dụng trong phòng, chống lừa đảo mạng; yêu cầu sử dụng định danh điện tử mức độ 1, 2 khi đăng nhập ứng dụng ngân hàng và thực hiện giao dịch theo hạn mức. Đồng thời, bổ sung trách nhiệm xác thực,</w:t>
            </w:r>
            <w:r>
              <w:rPr>
                <w:rFonts w:ascii="Times" w:eastAsia="Times New Roman" w:hAnsi="Times"/>
              </w:rPr>
              <w:t xml:space="preserve"> lưu trữ và cung cấp thông tin người dùng ngân hàng khi có yêu cầu điều tra.</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thay thế, ban hành mới VBQPPL (theo trình tự, thủ tục rút gọn ban hành VBQPPL của Luật Ban hành </w:t>
            </w:r>
            <w:r>
              <w:rPr>
                <w:rFonts w:ascii="Times" w:eastAsia="Times New Roman" w:hAnsi="Times"/>
              </w:rPr>
              <w:lastRenderedPageBreak/>
              <w:t>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Sở Tư pháp tỉnh Hải Phòng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16-07-2025 08:11:58</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12</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Nghị định số 106/2025/NĐ-CP ngày 15/5/2025 của Chính phủ quy định xử phạt vi phạm hành chính trong lĩnh vực </w:t>
            </w:r>
            <w:r>
              <w:rPr>
                <w:rFonts w:ascii="Times" w:eastAsia="Times New Roman" w:hAnsi="Times"/>
              </w:rPr>
              <w:lastRenderedPageBreak/>
              <w:t>phòng cháy, chữa cháy và cứu nạn, cứu hộ</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Chưa có quy định cụ thể để xác định “vi phạm hành chính nhiều lần” trong lĩnh vực phòng cháy, </w:t>
            </w:r>
            <w:r>
              <w:rPr>
                <w:rFonts w:ascii="Times" w:eastAsia="Times New Roman" w:hAnsi="Times"/>
              </w:rPr>
              <w:t xml:space="preserve">chữa cháy và cứu nạn, cứu hộ (ví dụ: vi phạm tại nhiều hạng mục công trình thì chỉ phạt 1 lần hay xử </w:t>
            </w:r>
            <w:r>
              <w:rPr>
                <w:rFonts w:ascii="Times" w:eastAsia="Times New Roman" w:hAnsi="Times"/>
              </w:rPr>
              <w:lastRenderedPageBreak/>
              <w:t>phạt đối với từng hạng mục;…)</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B. Hướng dẫn áp dụng VBQPPL theo quy định tại </w:t>
            </w:r>
            <w:r>
              <w:rPr>
                <w:rFonts w:ascii="Times" w:eastAsia="Times New Roman" w:hAnsi="Times"/>
              </w:rPr>
              <w:lastRenderedPageBreak/>
              <w:t>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Sở Tư pháp tỉnh Hải Phòng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16-07-2025</w:t>
            </w:r>
            <w:r>
              <w:rPr>
                <w:rFonts w:ascii="Times" w:eastAsia="Times New Roman" w:hAnsi="Times"/>
              </w:rPr>
              <w:t xml:space="preserve"> 08:11:58</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13</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Luật Xuất cảnh, nhập cảnh của công dân Việt Nam và khoản 3 Điều 4 Nghị định số 76/2020/NĐ-CP, ngày 01/7/2020 của Chính phủ quy định chi tiết đối tượng, trình tự, thủ tục, thẩm quyền cấp, thu hồi, </w:t>
            </w:r>
            <w:r>
              <w:rPr>
                <w:rFonts w:ascii="Times" w:eastAsia="Times New Roman" w:hAnsi="Times"/>
              </w:rPr>
              <w:lastRenderedPageBreak/>
              <w:t>hủy giá trị sử dụng giấy thông hành (sửa đổi, bổ sung bởi Ng</w:t>
            </w:r>
            <w:r>
              <w:rPr>
                <w:rFonts w:ascii="Times" w:eastAsia="Times New Roman" w:hAnsi="Times"/>
              </w:rPr>
              <w:t>hị định số 67/2024/NĐ-CP, ngày 25/6/2024)</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Đối tượng được cấp giấy thông hành xuất nhập cảnh vùng biên gới Việt Nam - Trung Quốc theo khoản 3 Điều 4 Nghị định số 76/2020/NĐ-CP gồm: - Công dân Việt Nam thường trú tại các xã, phường, thị trấn tiếp giáp đường</w:t>
            </w:r>
            <w:r>
              <w:rPr>
                <w:rFonts w:ascii="Times" w:eastAsia="Times New Roman" w:hAnsi="Times"/>
              </w:rPr>
              <w:t xml:space="preserve"> biên giới Việt Nam - Trung Quốc - Cán bộ, công chức làm việc tại các cơ quan nhà nước có trụ sở đóng tại huyện, xã, thành phố thuộc </w:t>
            </w:r>
            <w:r>
              <w:rPr>
                <w:rFonts w:ascii="Times" w:eastAsia="Times New Roman" w:hAnsi="Times"/>
              </w:rPr>
              <w:lastRenderedPageBreak/>
              <w:t>tỉnh của Việt Nam tiếp giáp đường biên giới Việt Nam - Trung Quốc được cử sang vùng biên giới đối diện của Trung Quốc để cô</w:t>
            </w:r>
            <w:r>
              <w:rPr>
                <w:rFonts w:ascii="Times" w:eastAsia="Times New Roman" w:hAnsi="Times"/>
              </w:rPr>
              <w:t>ng tác. Quy định như trên hạn chế đối tượng được cấp giấy thông hành xuất nhập cảnh, chưa bảo đảm linh hoạt, sáng tạo, có thể ảnh hưởng đến hoạt động xuất khẩu hàng nông sản của bà con nông dân.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C. Sửa đổi, bổ sung, thay thế, ban hành mới VBQPPL (theo trì</w:t>
            </w:r>
            <w:r>
              <w:rPr>
                <w:rFonts w:ascii="Times" w:eastAsia="Times New Roman" w:hAnsi="Times"/>
              </w:rPr>
              <w:t xml:space="preserve">nh tự, thủ tục rút gọn ban </w:t>
            </w:r>
            <w:r>
              <w:rPr>
                <w:rFonts w:ascii="Times" w:eastAsia="Times New Roman" w:hAnsi="Times"/>
              </w:rPr>
              <w:lastRenderedPageBreak/>
              <w:t>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Sở Tư pháp tỉnh Lạng Sơn</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15-07-2025 23:14:00</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14</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Điều 13 Nghị định số 142/2021/NĐ-CP, ngày 31/12/2021 của Chính phủ quy định hình thức xử phạt trục xuất, biện pháp </w:t>
            </w:r>
            <w:r>
              <w:rPr>
                <w:rFonts w:ascii="Times" w:eastAsia="Times New Roman" w:hAnsi="Times"/>
              </w:rPr>
              <w:lastRenderedPageBreak/>
              <w:t>tạm giữ người, áp giải người vi phạm theo thủ tục hành chính và quản lý người nước ngoài vi phạm pháp luật Việt Nam trong thời gian làm thủ t</w:t>
            </w:r>
            <w:r>
              <w:rPr>
                <w:rFonts w:ascii="Times" w:eastAsia="Times New Roman" w:hAnsi="Times"/>
              </w:rPr>
              <w:t>ục trục xuất</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Theo đó, người nước ngoài vi phạm pháp luật trước khi đưa vào cơ sở lưu trú để quản lý theo quy định phải bảo đảm đã bị cơ quan có thẩm quyền ra quyết định xử phạt vi phạm hành chính có áp dụng hình </w:t>
            </w:r>
            <w:r>
              <w:rPr>
                <w:rFonts w:ascii="Times" w:eastAsia="Times New Roman" w:hAnsi="Times"/>
              </w:rPr>
              <w:lastRenderedPageBreak/>
              <w:t xml:space="preserve">thức xử phạt bổ sung là “trục xuất”. Trong </w:t>
            </w:r>
            <w:r>
              <w:rPr>
                <w:rFonts w:ascii="Times" w:eastAsia="Times New Roman" w:hAnsi="Times"/>
              </w:rPr>
              <w:t>khi đó, để có căn cứ ra quyết định xử phạt vi phạm hành chính phải tiến hành thủ tục tra cứu đối với người nước ngoài vi phạm và cần nhiều thời gian xác minh, tra cứu. Vậy trong khoảng thời gian chưa có quyết định xử phạt vi phạm hành chính, người nước ngo</w:t>
            </w:r>
            <w:r>
              <w:rPr>
                <w:rFonts w:ascii="Times" w:eastAsia="Times New Roman" w:hAnsi="Times"/>
              </w:rPr>
              <w:t>ài sẽ được quản lý như thế nào? Điều này chưa có quy định cụ thể, gây khó khăn cho việc quản lý người nước ngoài trong thời gian làm thủ tục trục xuất.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B. Hướng dẫn áp dụng VBQPPL theo quy định tại </w:t>
            </w:r>
            <w:r>
              <w:rPr>
                <w:rFonts w:ascii="Times" w:eastAsia="Times New Roman" w:hAnsi="Times"/>
              </w:rPr>
              <w:lastRenderedPageBreak/>
              <w:t>Điều 61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Sở Tư pháp tỉnh Lạ</w:t>
            </w:r>
            <w:r>
              <w:rPr>
                <w:rFonts w:ascii="Times" w:eastAsia="Times New Roman" w:hAnsi="Times"/>
              </w:rPr>
              <w:t>ng Sơn</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15-07-2025 23:14:00</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15</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Điều 27 Luật Phòng, chống ma túy năm 2021 </w:t>
            </w:r>
            <w:r>
              <w:rPr>
                <w:rFonts w:ascii="Times" w:eastAsia="Times New Roman" w:hAnsi="Times"/>
              </w:rPr>
              <w:lastRenderedPageBreak/>
              <w:t>và Điều 39 Nghị định 105/2021/NĐ-CP ngày 04/12/2021 của Chính phủ quy định chi kinh phí công tác xét nghiệm chất ma túy trong cơ thể và xác định tình trạng nghiện ma túy</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Chỉ nêu chung chung, chưa có định mức chi cụ thể và hiện tại các bộ, ngành chức </w:t>
            </w:r>
            <w:r>
              <w:rPr>
                <w:rFonts w:ascii="Times" w:eastAsia="Times New Roman" w:hAnsi="Times"/>
              </w:rPr>
              <w:lastRenderedPageBreak/>
              <w:t>năng của Trung ương cũng chưa có văn bản quy định về định mức chi cho các nội dung của công tác này, nên việc chi cho công tác quản lý người nghiện, người sử dụng trái phép ch</w:t>
            </w:r>
            <w:r>
              <w:rPr>
                <w:rFonts w:ascii="Times" w:eastAsia="Times New Roman" w:hAnsi="Times"/>
              </w:rPr>
              <w:t>ất ma túy (nhất là công tác xét nghiệm chất ma túy trong cơ thể và xác định tình trạng nghiện ma túy) còn gặp khó khăn.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w:t>
            </w:r>
            <w:r>
              <w:rPr>
                <w:rFonts w:ascii="Times" w:eastAsia="Times New Roman" w:hAnsi="Times"/>
              </w:rPr>
              <w:lastRenderedPageBreak/>
              <w:t>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Sở Tư phá</w:t>
            </w:r>
            <w:r>
              <w:rPr>
                <w:rFonts w:ascii="Times" w:eastAsia="Times New Roman" w:hAnsi="Times"/>
              </w:rPr>
              <w:t xml:space="preserve">p tỉnh Lạng </w:t>
            </w:r>
            <w:r>
              <w:rPr>
                <w:rFonts w:ascii="Times" w:eastAsia="Times New Roman" w:hAnsi="Times"/>
              </w:rPr>
              <w:lastRenderedPageBreak/>
              <w:t>Sơn</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 xml:space="preserve">15-07-2025 </w:t>
            </w:r>
            <w:r>
              <w:rPr>
                <w:rFonts w:ascii="Times" w:eastAsia="Times New Roman" w:hAnsi="Times"/>
              </w:rPr>
              <w:lastRenderedPageBreak/>
              <w:t>23:14:00</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16</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Nghị định số 118/2024/NĐ-CP, ngày </w:t>
            </w:r>
            <w:r>
              <w:rPr>
                <w:rFonts w:ascii="Times" w:eastAsia="Times New Roman" w:hAnsi="Times"/>
              </w:rPr>
              <w:lastRenderedPageBreak/>
              <w:t>30/9/2024 của Chính phủ quy định chi tiết một số điều của Luật Thi hành án hình sự</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Chưa có hướng dẫn, quy định về việc tổ chức cho phạm nhân đang chấp hành án </w:t>
            </w:r>
            <w:r>
              <w:rPr>
                <w:rFonts w:ascii="Times" w:eastAsia="Times New Roman" w:hAnsi="Times"/>
              </w:rPr>
              <w:lastRenderedPageBreak/>
              <w:t>tại Trại tạm giam Công an cấp tỉnh, các phân trại thuộc Trại tạm giam học nghề, lao động phục vụ công tác tạm giữ, tạm giam; chưa có văn bản quy định về trình tự, thủ tục thực hiện</w:t>
            </w:r>
            <w:r>
              <w:rPr>
                <w:rFonts w:ascii="Times" w:eastAsia="Times New Roman" w:hAnsi="Times"/>
              </w:rPr>
              <w:t xml:space="preserve"> công tác khen thưởng, kỷ luật phạm nhân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w:t>
            </w:r>
            <w:r>
              <w:rPr>
                <w:rFonts w:ascii="Times" w:eastAsia="Times New Roman" w:hAnsi="Times"/>
              </w:rPr>
              <w:lastRenderedPageBreak/>
              <w:t>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Sở Tư pháp tỉnh Lạng </w:t>
            </w:r>
            <w:r>
              <w:rPr>
                <w:rFonts w:ascii="Times" w:eastAsia="Times New Roman" w:hAnsi="Times"/>
              </w:rPr>
              <w:lastRenderedPageBreak/>
              <w:t>Sơn</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 xml:space="preserve">15-07-2025 </w:t>
            </w:r>
            <w:r>
              <w:rPr>
                <w:rFonts w:ascii="Times" w:eastAsia="Times New Roman" w:hAnsi="Times"/>
              </w:rPr>
              <w:lastRenderedPageBreak/>
              <w:t>23:14:00</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17</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Khoản 2 Điều 15, khoản 2 Điều 19 Luật An toàn </w:t>
            </w:r>
            <w:r>
              <w:rPr>
                <w:rFonts w:ascii="Times" w:eastAsia="Times New Roman" w:hAnsi="Times"/>
              </w:rPr>
              <w:lastRenderedPageBreak/>
              <w:t>thông tin mạng năm 2015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Tại khoản 2 Điều 15 quy định: “Cơ quan, tổ chức, cá nhân sử dụng dịch vụ trên </w:t>
            </w:r>
            <w:r>
              <w:rPr>
                <w:rFonts w:ascii="Times" w:eastAsia="Times New Roman" w:hAnsi="Times"/>
              </w:rPr>
              <w:lastRenderedPageBreak/>
              <w:t xml:space="preserve">mạng có trách nhiệm thông báo kịp thời cho doanh nghiệp cung cấp dịch vụ hoặc bộ phận chuyên trách ứng cứu </w:t>
            </w:r>
            <w:r>
              <w:rPr>
                <w:rFonts w:ascii="Times" w:eastAsia="Times New Roman" w:hAnsi="Times"/>
              </w:rPr>
              <w:t>sự cố khi phát hiện các hành vi phá hoại hoặc sự cố an toàn thông tin mạng”. - Tại khoản 2 Điều 19 quy định: “Khi xảy ra hoặc có nguy cơ xảy ra sự cố an toàn thông tin mạng, tổ chức, cá nhân xử lý thông tin cá nhân cần áp dụng biện pháp khắc phục, ngăn chặ</w:t>
            </w:r>
            <w:r>
              <w:rPr>
                <w:rFonts w:ascii="Times" w:eastAsia="Times New Roman" w:hAnsi="Times"/>
              </w:rPr>
              <w:t xml:space="preserve">n trong thời gian sớm nhất”. Như vậy, Luật chưa quy định cụ thể thời gian (kể từ khi phát hiện hành vi phá hoại hoặc sự cố an toàn thông tin mạng; thời gian sớm nhất là bao lâu), trình tự, thủ tục xử lý sự cố an toàn thông tin mạng, dẫn </w:t>
            </w:r>
            <w:r>
              <w:rPr>
                <w:rFonts w:ascii="Times" w:eastAsia="Times New Roman" w:hAnsi="Times"/>
              </w:rPr>
              <w:lastRenderedPageBreak/>
              <w:t>đến việc xử lý sự c</w:t>
            </w:r>
            <w:r>
              <w:rPr>
                <w:rFonts w:ascii="Times" w:eastAsia="Times New Roman" w:hAnsi="Times"/>
              </w:rPr>
              <w:t>ố còn chậm trễ, thiếu hiệu quả. Kiến nghị: sửa đổi, bổ sung các quy định cụ thể về thời gian, trình tự, thủ tục xử lý sự cố an toàn thông tin mạng tại Luật An toàn thông tin mạng năm 2015 và các văn bản hướng dẫn thi hành Luật.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w:t>
            </w:r>
            <w:r>
              <w:rPr>
                <w:rFonts w:ascii="Times" w:eastAsia="Times New Roman" w:hAnsi="Times"/>
              </w:rPr>
              <w:lastRenderedPageBreak/>
              <w:t>thay t</w:t>
            </w:r>
            <w:r>
              <w:rPr>
                <w:rFonts w:ascii="Times" w:eastAsia="Times New Roman" w:hAnsi="Times"/>
              </w:rPr>
              <w: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Sở Tư pháp Thừa Thiên </w:t>
            </w:r>
            <w:r>
              <w:rPr>
                <w:rFonts w:ascii="Times" w:eastAsia="Times New Roman" w:hAnsi="Times"/>
              </w:rPr>
              <w:lastRenderedPageBreak/>
              <w:t>– Huế</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 xml:space="preserve">15-07-2025 </w:t>
            </w:r>
            <w:r>
              <w:rPr>
                <w:rFonts w:ascii="Times" w:eastAsia="Times New Roman" w:hAnsi="Times"/>
              </w:rPr>
              <w:lastRenderedPageBreak/>
              <w:t>16:06:58</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18</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Khoản 2 Điều 15, khoản 2 Điều 19 Luật An toàn thông tin mạng năm 2015 </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Tại khoản 2 Điều 15 quy định: “Cơ quan, tổ chức, cá nhân sử dụng dịch vụ trên mạng có trách nhiệm thông báo kịp thời cho doanh nghiệp cung cấp dịch vụ hoặc bộ phận chuyên trách ứng cứu sự cố khi phát hiện các hành vi phá hoại hoặc sự cố an toàn thông tin</w:t>
            </w:r>
            <w:r>
              <w:rPr>
                <w:rFonts w:ascii="Times" w:eastAsia="Times New Roman" w:hAnsi="Times"/>
              </w:rPr>
              <w:t xml:space="preserve"> mạng”. - Tại khoản 2 Điều 19 quy định: “Khi xảy ra </w:t>
            </w:r>
            <w:r>
              <w:rPr>
                <w:rFonts w:ascii="Times" w:eastAsia="Times New Roman" w:hAnsi="Times"/>
              </w:rPr>
              <w:lastRenderedPageBreak/>
              <w:t xml:space="preserve">hoặc có nguy cơ xảy ra sự cố an toàn thông tin mạng, tổ chức, cá nhân xử lý thông tin cá nhân cần áp dụng biện pháp khắc phục, ngăn chặn trong thời gian sớm nhất”. Như vậy, Luật chưa quy định cụ thể thời </w:t>
            </w:r>
            <w:r>
              <w:rPr>
                <w:rFonts w:ascii="Times" w:eastAsia="Times New Roman" w:hAnsi="Times"/>
              </w:rPr>
              <w:t xml:space="preserve">gian (kể từ khi phát hiện hành vi phá hoại hoặc sự cố an toàn thông tin mạng; thời gian sớm nhất là bao lâu), trình tự, thủ tục xử lý sự cố an toàn thông tin mạng, dẫn đến việc xử lý sự cố còn chậm trễ, thiếu hiệu quả.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A. Giải thích luật, nghị quyết của </w:t>
            </w:r>
            <w:r>
              <w:rPr>
                <w:rFonts w:ascii="Times" w:eastAsia="Times New Roman" w:hAnsi="Times"/>
              </w:rPr>
              <w:t xml:space="preserve">Quốc hội, pháp lệnh, nghị quyết của Ủy ban </w:t>
            </w:r>
            <w:r>
              <w:rPr>
                <w:rFonts w:ascii="Times" w:eastAsia="Times New Roman" w:hAnsi="Times"/>
              </w:rPr>
              <w:lastRenderedPageBreak/>
              <w:t>Thường vụ Quốc hội theo quy định tại Điều 60 Luật Ban hành 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Sở Tư pháp Tỉnh Đồng Nai</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15-07-2025 16:05:44</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19</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Nghị định số 166/2013/NĐ-CP ngày 12/11/2013 của Chính phủ </w:t>
            </w:r>
            <w:r>
              <w:rPr>
                <w:rFonts w:ascii="Times" w:eastAsia="Times New Roman" w:hAnsi="Times"/>
              </w:rPr>
              <w:lastRenderedPageBreak/>
              <w:t xml:space="preserve">quy định </w:t>
            </w:r>
            <w:r>
              <w:rPr>
                <w:rFonts w:ascii="Times" w:eastAsia="Times New Roman" w:hAnsi="Times"/>
              </w:rPr>
              <w:t xml:space="preserve">về cưỡng chế thi hành quyết định xử phạt vi phạm hành chính. </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Chưa quy định cụ thể biện pháp, trình tự, thủ tục để thực hiện cưỡng chế buộc thực hiện biện pháp khắc phục hậu quả “buộc </w:t>
            </w:r>
            <w:r>
              <w:rPr>
                <w:rFonts w:ascii="Times" w:eastAsia="Times New Roman" w:hAnsi="Times"/>
              </w:rPr>
              <w:lastRenderedPageBreak/>
              <w:t xml:space="preserve">hoàn trả phần vốn đã huy động không đúng quy định” </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C. Sửa đổi, bổ sun</w:t>
            </w:r>
            <w:r>
              <w:rPr>
                <w:rFonts w:ascii="Times" w:eastAsia="Times New Roman" w:hAnsi="Times"/>
              </w:rPr>
              <w:t xml:space="preserve">g, thay thế, </w:t>
            </w:r>
            <w:r>
              <w:rPr>
                <w:rFonts w:ascii="Times" w:eastAsia="Times New Roman" w:hAnsi="Times"/>
              </w:rPr>
              <w:lastRenderedPageBreak/>
              <w:t>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Sở Tư pháp Tỉnh Đồng </w:t>
            </w:r>
            <w:r>
              <w:rPr>
                <w:rFonts w:ascii="Times" w:eastAsia="Times New Roman" w:hAnsi="Times"/>
              </w:rPr>
              <w:lastRenderedPageBreak/>
              <w:t>Nai</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 xml:space="preserve">15-07-2025 </w:t>
            </w:r>
            <w:r>
              <w:rPr>
                <w:rFonts w:ascii="Times" w:eastAsia="Times New Roman" w:hAnsi="Times"/>
              </w:rPr>
              <w:lastRenderedPageBreak/>
              <w:t>16:05:44</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20</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Điểm h khoản 1 Điều 13 Luật Thi hành tạm giữ, </w:t>
            </w:r>
            <w:r>
              <w:rPr>
                <w:rFonts w:ascii="Times" w:eastAsia="Times New Roman" w:hAnsi="Times"/>
              </w:rPr>
              <w:lastRenderedPageBreak/>
              <w:t>tạm giam năm 2015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Điểm h khoản 1 Điều 13 Luật Thi hành tạm giữ, tạm giam năm 2015 quy định nhà tạm giữ, Trại tạm giam, có nhiệm vụ: </w:t>
            </w:r>
            <w:r>
              <w:rPr>
                <w:rFonts w:ascii="Times" w:eastAsia="Times New Roman" w:hAnsi="Times"/>
              </w:rPr>
              <w:lastRenderedPageBreak/>
              <w:t>“Thông báo bằng văn bản cho cơ quan đang thụ lý vụ án 01 ngày trước khi hết thời hạn tạm giữ, gia hạn tạm giữ…”. Quy định nêu trên chưa bảo đả</w:t>
            </w:r>
            <w:r>
              <w:rPr>
                <w:rFonts w:ascii="Times" w:eastAsia="Times New Roman" w:hAnsi="Times"/>
              </w:rPr>
              <w:t>m tính khả thi, vì trên thực tế các cơ sở giam giữ khó thực hiện đúng quy định này một cách triệt để, vì thời hạn tạm giữ ngắn, việc thông báo, đôn đốc, trao đổi chủ yếu bằng điện thoại cho cơ quan đang thụ lý, sau đó mới làm văn bản thông báo, dẫn đến việ</w:t>
            </w:r>
            <w:r>
              <w:rPr>
                <w:rFonts w:ascii="Times" w:eastAsia="Times New Roman" w:hAnsi="Times"/>
              </w:rPr>
              <w:t>c vi phạm quy định.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thay thế, </w:t>
            </w:r>
            <w:r>
              <w:rPr>
                <w:rFonts w:ascii="Times" w:eastAsia="Times New Roman" w:hAnsi="Times"/>
              </w:rPr>
              <w:lastRenderedPageBreak/>
              <w:t>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Sở Tư pháp tỉnh Tuyên </w:t>
            </w:r>
            <w:r>
              <w:rPr>
                <w:rFonts w:ascii="Times" w:eastAsia="Times New Roman" w:hAnsi="Times"/>
              </w:rPr>
              <w:lastRenderedPageBreak/>
              <w:t>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 xml:space="preserve">15-07-2025 </w:t>
            </w:r>
            <w:r>
              <w:rPr>
                <w:rFonts w:ascii="Times" w:eastAsia="Times New Roman" w:hAnsi="Times"/>
              </w:rPr>
              <w:lastRenderedPageBreak/>
              <w:t>14:49:43</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21</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Khoản 4 Điều 19 Luật Thi hành tạm giữ, tạm giam </w:t>
            </w:r>
            <w:r>
              <w:rPr>
                <w:rFonts w:ascii="Times" w:eastAsia="Times New Roman" w:hAnsi="Times"/>
              </w:rPr>
              <w:lastRenderedPageBreak/>
              <w:t>năm 2015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Việc điều chuyển người bị tạm giữ, người bị tạm giam giữa các cơ sở giam giữ do Thủ trưởng cơ quan quản lý tạm giữ, tạm </w:t>
            </w:r>
            <w:r>
              <w:rPr>
                <w:rFonts w:ascii="Times" w:eastAsia="Times New Roman" w:hAnsi="Times"/>
              </w:rPr>
              <w:lastRenderedPageBreak/>
              <w:t>giam quyết định sau khi thống nhất với thủ trưởng cơ quan đang thụ lý vụ án và</w:t>
            </w:r>
            <w:r>
              <w:rPr>
                <w:rFonts w:ascii="Times" w:eastAsia="Times New Roman" w:hAnsi="Times"/>
              </w:rPr>
              <w:t xml:space="preserve"> “thông báo cho Viện kiểm sát cùng cấp biết…”. Luật chưa quy định cụ thể về hình thức thông báo và thời hạn thông báo cho Viện kiểm sát cùng cấp.</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thay thế, </w:t>
            </w:r>
            <w:r>
              <w:rPr>
                <w:rFonts w:ascii="Times" w:eastAsia="Times New Roman" w:hAnsi="Times"/>
              </w:rPr>
              <w:lastRenderedPageBreak/>
              <w:t>ban hành mới VBQPPL (theo trình tự, thủ tục rút gọn ban hành VBQPPL của Luật B</w:t>
            </w:r>
            <w:r>
              <w:rPr>
                <w:rFonts w:ascii="Times" w:eastAsia="Times New Roman" w:hAnsi="Times"/>
              </w:rPr>
              <w:t>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Sở Tư pháp tỉnh Tuyên </w:t>
            </w:r>
            <w:r>
              <w:rPr>
                <w:rFonts w:ascii="Times" w:eastAsia="Times New Roman" w:hAnsi="Times"/>
              </w:rPr>
              <w:lastRenderedPageBreak/>
              <w:t>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 xml:space="preserve">15-07-2025 </w:t>
            </w:r>
            <w:r>
              <w:rPr>
                <w:rFonts w:ascii="Times" w:eastAsia="Times New Roman" w:hAnsi="Times"/>
              </w:rPr>
              <w:lastRenderedPageBreak/>
              <w:t>14:49:43</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22</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Khoản 1 Điều 64 Luật Trật tự, an toàn giao thông </w:t>
            </w:r>
            <w:r>
              <w:rPr>
                <w:rFonts w:ascii="Times" w:eastAsia="Times New Roman" w:hAnsi="Times"/>
              </w:rPr>
              <w:lastRenderedPageBreak/>
              <w:t>đường bộ năm 2024</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Tại khoản 1 Điều 64 Luật Trật tự, An toàn giao thông đường bộ năm 2024 (có hiệu lực thi hành từ ngày 01/01/2025) </w:t>
            </w:r>
            <w:r>
              <w:rPr>
                <w:rFonts w:ascii="Times" w:eastAsia="Times New Roman" w:hAnsi="Times"/>
              </w:rPr>
              <w:lastRenderedPageBreak/>
              <w:t>quy định về Thời gian làm việc của người lái xe ô tô kinh doanh vận tải và vận tải đường bộ: “1. Thời gian lái xe của người lái xe ô tô không q</w:t>
            </w:r>
            <w:r>
              <w:rPr>
                <w:rFonts w:ascii="Times" w:eastAsia="Times New Roman" w:hAnsi="Times"/>
              </w:rPr>
              <w:t>uá 10 giờ trong một ngày và không quá 48 giờ trong một tuần; lái xe liên tục không quá 04 giờ và bảo đảm các quy định có liên quan của Bộ luật Lao động”. Quy định thời gian lái xe nêu trên thấp hơn so với các nước như Úc (12 giờ/ngày), Mỹ (11 giờ/ngày, 60-</w:t>
            </w:r>
            <w:r>
              <w:rPr>
                <w:rFonts w:ascii="Times" w:eastAsia="Times New Roman" w:hAnsi="Times"/>
              </w:rPr>
              <w:t xml:space="preserve">77 giờ/tuần), EU (56 giờ/tuần), Nhật Bản và Ấn Độ (60 giờ/tuần), dẫn đến năng suất lao động thấp, thu nhập cũng sẽ bị giảm tương ứng thấp. Hiện nhiều doanh nghiệp kinh doanh vận tải đang thiếu nguồn cung </w:t>
            </w:r>
            <w:r>
              <w:rPr>
                <w:rFonts w:ascii="Times" w:eastAsia="Times New Roman" w:hAnsi="Times"/>
              </w:rPr>
              <w:lastRenderedPageBreak/>
              <w:t>lái xe ảnh hưởng tới các doanh nghiệp vận tải đồng t</w:t>
            </w:r>
            <w:r>
              <w:rPr>
                <w:rFonts w:ascii="Times" w:eastAsia="Times New Roman" w:hAnsi="Times"/>
              </w:rPr>
              <w:t>hời tốc độ lưu thông bình quân di chuyển đường bộ chậm dẫn đến năng lực vận tải đường bộ yếu dẫn đến giá cước vận tải và chi phí logistics tăng cao sẽ làm giảm sức cạnh tranh của cả nền kinh tế.</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thay thế, </w:t>
            </w:r>
            <w:r>
              <w:rPr>
                <w:rFonts w:ascii="Times" w:eastAsia="Times New Roman" w:hAnsi="Times"/>
              </w:rPr>
              <w:lastRenderedPageBreak/>
              <w:t>ban hành mới VBQPPL (theo trì</w:t>
            </w:r>
            <w:r>
              <w:rPr>
                <w:rFonts w:ascii="Times" w:eastAsia="Times New Roman" w:hAnsi="Times"/>
              </w:rPr>
              <w:t>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Sở Tư pháp tỉnh Tuyên </w:t>
            </w:r>
            <w:r>
              <w:rPr>
                <w:rFonts w:ascii="Times" w:eastAsia="Times New Roman" w:hAnsi="Times"/>
              </w:rPr>
              <w:lastRenderedPageBreak/>
              <w:t>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 xml:space="preserve">15-07-2025 </w:t>
            </w:r>
            <w:r>
              <w:rPr>
                <w:rFonts w:ascii="Times" w:eastAsia="Times New Roman" w:hAnsi="Times"/>
              </w:rPr>
              <w:lastRenderedPageBreak/>
              <w:t>14:49:43</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23</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Nghị định số 105/2025/NĐ-CP ngày 15/5/2025 của Chính Phủ Quy định chi tiết một số điều và biện pháp thi hành Luật Phòng cháy, chữa </w:t>
            </w:r>
            <w:r>
              <w:rPr>
                <w:rFonts w:ascii="Times" w:eastAsia="Times New Roman" w:hAnsi="Times"/>
              </w:rPr>
              <w:lastRenderedPageBreak/>
              <w:t>cháy và cứu nạn, cứu hộ.</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Tại điểm d Mục 17 Phụ lục III Danh mục công trình, phương tiện giao thông thuộc diện thẩm định thiế</w:t>
            </w:r>
            <w:r>
              <w:rPr>
                <w:rFonts w:ascii="Times" w:eastAsia="Times New Roman" w:hAnsi="Times"/>
              </w:rPr>
              <w:t xml:space="preserve">t kế về phòng cháy và chữa cháy do cơ quan quản lý chuyên ngành thẩm định kèm theo Nghị định số 105/2025/NĐ-CP quy định: “d) Công trình sản xuất công nghiệp khác có nhà </w:t>
            </w:r>
            <w:r>
              <w:rPr>
                <w:rFonts w:ascii="Times" w:eastAsia="Times New Roman" w:hAnsi="Times"/>
              </w:rPr>
              <w:lastRenderedPageBreak/>
              <w:t>phục vụ sản xuất thuộc hạng nguy hiểm cháy nổ A, B có khối tích từ 7.000 m3 trở lên hoặ</w:t>
            </w:r>
            <w:r>
              <w:rPr>
                <w:rFonts w:ascii="Times" w:eastAsia="Times New Roman" w:hAnsi="Times"/>
              </w:rPr>
              <w:t xml:space="preserve">c tổng diện tích sàn từ 1.000 m2 trở lên; công trình sản xuất công nghiệp có nhà phục vụ sản xuất thuộc hạng nguy hiểm cháy C có khối tích từ 15.000 m3 trở lên hoặc tổng diện tích sàn từ 2.000 m2 trở lên; công trình sản xuất công nghiệp có nhà phục vụ sản </w:t>
            </w:r>
            <w:r>
              <w:rPr>
                <w:rFonts w:ascii="Times" w:eastAsia="Times New Roman" w:hAnsi="Times"/>
              </w:rPr>
              <w:t xml:space="preserve">xuất thuộc hạng nguy hiểm cháy D, E có khối tích từ 30.000 m3 trở lên hoặc tổng diện tích sàn từ 10.000 m2 trở lên”. Tại quy định Tiêu chuẩn Việt Nam TCVN 2622 : 1995 phòng cháy, chống cháy cho nhà và công trình - yêu cầu thiết kế: Hạng D: Không </w:t>
            </w:r>
            <w:r>
              <w:rPr>
                <w:rFonts w:ascii="Times" w:eastAsia="Times New Roman" w:hAnsi="Times"/>
              </w:rPr>
              <w:lastRenderedPageBreak/>
              <w:t>thể hiện đ</w:t>
            </w:r>
            <w:r>
              <w:rPr>
                <w:rFonts w:ascii="Times" w:eastAsia="Times New Roman" w:hAnsi="Times"/>
              </w:rPr>
              <w:t xml:space="preserve">ặc tính nguy hiểm của sản xuất; Hạng E: Không thể hiện đặc tính nguy hiểm của sản xuất Cơ sở công nghiệp đã đầu tư nhiều chi phí để xử lý quy trình, sử dụng vật liệu đảm bảo chống cháy nổ phòng cháy, chữa cháy, không có nguy hiểm cháy thì việc bắt buộc cơ </w:t>
            </w:r>
            <w:r>
              <w:rPr>
                <w:rFonts w:ascii="Times" w:eastAsia="Times New Roman" w:hAnsi="Times"/>
              </w:rPr>
              <w:t>sở vẫn phải áp dụng thẩm định thiết kế phòng cháy, chữa cháy gây rất nhiều khó khăn doanh nghiệp trong bối cảnh giá cả vật tư, nhân công… đều tăng mạnh dẫn đến doanh nghiệp sẽ không đủ kinh phí để triển khai dự án, ngược lại nếu không áp dụng thì không đượ</w:t>
            </w:r>
            <w:r>
              <w:rPr>
                <w:rFonts w:ascii="Times" w:eastAsia="Times New Roman" w:hAnsi="Times"/>
              </w:rPr>
              <w:t xml:space="preserve">c cấp phép phòng </w:t>
            </w:r>
            <w:r>
              <w:rPr>
                <w:rFonts w:ascii="Times" w:eastAsia="Times New Roman" w:hAnsi="Times"/>
              </w:rPr>
              <w:lastRenderedPageBreak/>
              <w:t>cháy, chữa cháy để hoạt động.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thay thế, ban hành mới VBQPPL (theo trình </w:t>
            </w:r>
            <w:r>
              <w:rPr>
                <w:rFonts w:ascii="Times" w:eastAsia="Times New Roman" w:hAnsi="Times"/>
              </w:rPr>
              <w:lastRenderedPageBreak/>
              <w:t>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Sở Tư pháp tỉnh Tuyên 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15-07-2025 14:49:43</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24</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Điểm b, c Khoản 4 Điều 11 Nghị định số 70/2024/NĐ-CP ngày 25/6/2024 quy định chi tiết một số điều và biện pháp thi hành Luật Căn cước.</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Theo quy định, Cơ quan quản lý căn cước của Bộ Công an phối hợp với Bộ Ngoại giao và cơ quan có liên quan thực hiện việc</w:t>
            </w:r>
            <w:r>
              <w:rPr>
                <w:rFonts w:ascii="Times" w:eastAsia="Times New Roman" w:hAnsi="Times"/>
              </w:rPr>
              <w:t xml:space="preserve"> thu thập, cập nhật thông tin vào Cơ sở dữ liệu quốc gia về dân cư và xác lập số định danh cá nhân cho công dân. Cụ thể: Công dân có thể thông qua CQĐD để làm thủ tục xác định số định danh cá nhân với Cơ quan quản lý căn cước Bộ Công an. Công dân điền thôn</w:t>
            </w:r>
            <w:r>
              <w:rPr>
                <w:rFonts w:ascii="Times" w:eastAsia="Times New Roman" w:hAnsi="Times"/>
              </w:rPr>
              <w:t xml:space="preserve">g tin vào Phiếu thu thập thông tin dân cư và nộp cho CQĐD; CQĐD gửi Phiếu thu thập thông tin dân cư cho Cơ quan quản lý căn </w:t>
            </w:r>
            <w:r>
              <w:rPr>
                <w:rFonts w:ascii="Times" w:eastAsia="Times New Roman" w:hAnsi="Times"/>
              </w:rPr>
              <w:lastRenderedPageBreak/>
              <w:t>cước Bộ Công an để cập nhật thông tin vào Cơ sở dữ liệu quốc gia về dân cư; sau khi xác lập số định danh cá nhân cho công dân, Cơ qu</w:t>
            </w:r>
            <w:r>
              <w:rPr>
                <w:rFonts w:ascii="Times" w:eastAsia="Times New Roman" w:hAnsi="Times"/>
              </w:rPr>
              <w:t xml:space="preserve">an quản lý căn cước Bộ Công an thông báo cho công dân thông qua CQĐD. Tuy nhiên, Nghị định số 70 chưa ban hành mẫu Phiếu thu thập thông tin dân cư, chưa có quy định về quy trình, thủ tục, phí/ lệ phí (nếu có) đối với thủ tục hành chính này, do đó công tác </w:t>
            </w:r>
            <w:r>
              <w:rPr>
                <w:rFonts w:ascii="Times" w:eastAsia="Times New Roman" w:hAnsi="Times"/>
              </w:rPr>
              <w:t>này cũng chưa triển khai được.</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thay thế, ban hành mới VBQPPL (theo trình tự, thủ tục rút gọn ban hành VBQPPL của Luật Ban hành </w:t>
            </w:r>
            <w:r>
              <w:rPr>
                <w:rFonts w:ascii="Times" w:eastAsia="Times New Roman" w:hAnsi="Times"/>
              </w:rPr>
              <w:lastRenderedPageBreak/>
              <w:t>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Bộ Ngoại giao</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15-07-2025 14:13:49</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25</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Khoản 6 Điều 9 Nghị định 69/2024/NĐ-CP quy định</w:t>
            </w:r>
            <w:r>
              <w:rPr>
                <w:rFonts w:ascii="Times" w:eastAsia="Times New Roman" w:hAnsi="Times"/>
              </w:rPr>
              <w:t xml:space="preserve"> về định danh và xác thực </w:t>
            </w:r>
            <w:r>
              <w:rPr>
                <w:rFonts w:ascii="Times" w:eastAsia="Times New Roman" w:hAnsi="Times"/>
              </w:rPr>
              <w:lastRenderedPageBreak/>
              <w:t>điện tử</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Đối với các nghiệp vụ cấp tín dụng và các hoạt động khác trong lĩnh vực ngân hàng, TCTD có trách nhiệm lưu trữ giấy </w:t>
            </w:r>
            <w:r>
              <w:rPr>
                <w:rFonts w:ascii="Times" w:eastAsia="Times New Roman" w:hAnsi="Times"/>
              </w:rPr>
              <w:lastRenderedPageBreak/>
              <w:t>tờ, tài liệu chứng minh việc nhận biết khách hàng, hồ sơ pháp lý của khách hàng để đáp ứng các quy định pháp luật hoặc làm bằng chứng giải q</w:t>
            </w:r>
            <w:r>
              <w:rPr>
                <w:rFonts w:ascii="Times" w:eastAsia="Times New Roman" w:hAnsi="Times"/>
              </w:rPr>
              <w:t xml:space="preserve">uyết khiếu nại, tranh chấp. Tuy nhiên, pháp luật hiện hành chưa có quy định hướng dẫn về việc lưu trữ thông tin về danh tính điện tử và thông tin tích hợp trên căn cước điện tử, tài khoản định danh điện tử. Đề xuất bổ sung quy định pháp lý về việc lưu trữ </w:t>
            </w:r>
            <w:r>
              <w:rPr>
                <w:rFonts w:ascii="Times" w:eastAsia="Times New Roman" w:hAnsi="Times"/>
              </w:rPr>
              <w:t>thông tin về danh tính điện tử và thông tin tích hợp trên căn cước điện tử, tài khoản định danh điên tử.</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thay thế, </w:t>
            </w:r>
            <w:r>
              <w:rPr>
                <w:rFonts w:ascii="Times" w:eastAsia="Times New Roman" w:hAnsi="Times"/>
              </w:rPr>
              <w:lastRenderedPageBreak/>
              <w:t>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Ngân hàng TMCP Tiên </w:t>
            </w:r>
            <w:r>
              <w:rPr>
                <w:rFonts w:ascii="Times" w:eastAsia="Times New Roman" w:hAnsi="Times"/>
              </w:rPr>
              <w:lastRenderedPageBreak/>
              <w:t>Phong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 xml:space="preserve">15-07-2025 </w:t>
            </w:r>
            <w:r>
              <w:rPr>
                <w:rFonts w:ascii="Times" w:eastAsia="Times New Roman" w:hAnsi="Times"/>
              </w:rPr>
              <w:lastRenderedPageBreak/>
              <w:t>10:53:28</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26</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Bộ Luật Hình sự năm 2015 (được sửa đổi, bổ sung năm 2017 và 2025)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Bộ luật hình sự có quy định một số tình tiết: “Có tính chất côn đồ”, “Tinh thần bị kích động mạnh”, “Xúc phạm nghiêm trọng danh dự, nhân phẩm của người khác”, “Gây ảnh hưởng xấu đến an ninh, trật tự, an toàn xã hội”, “Có khả năng thực tế dẫn đến hậu quả”, </w:t>
            </w:r>
            <w:r>
              <w:rPr>
                <w:rFonts w:ascii="Times" w:eastAsia="Times New Roman" w:hAnsi="Times"/>
              </w:rPr>
              <w:t>“Có số lượng lớn”, “Có số lượng rất lớn”, “Có số lượng đặc biệt lớn”, “Người già yếu”, “Người đã quá già yếu”, “Người đủ 70 tuổi trở lên”… Trên thực tế khi áp dụng các tình tiết này sẽ gặp những khó khăn nhất định do cách hiểu, nhận thức thiếu thống nhất t</w:t>
            </w:r>
            <w:r>
              <w:rPr>
                <w:rFonts w:ascii="Times" w:eastAsia="Times New Roman" w:hAnsi="Times"/>
              </w:rPr>
              <w:t xml:space="preserve">rong thực tiễn áp dụng vì đây là tình tiết, hậu quả mang tính phi vật chất; việc đánh </w:t>
            </w:r>
            <w:r>
              <w:rPr>
                <w:rFonts w:ascii="Times" w:eastAsia="Times New Roman" w:hAnsi="Times"/>
              </w:rPr>
              <w:lastRenderedPageBreak/>
              <w:t>giá, áp dụng phụ thuộc vào nhận thức của các cơ quan, người tiến hành tố tụng cũng như phụ thuộc vào đặc trưng, điều kiện phát triển kinh tế của từng vùng miền, địa phươn</w:t>
            </w:r>
            <w:r>
              <w:rPr>
                <w:rFonts w:ascii="Times" w:eastAsia="Times New Roman" w:hAnsi="Times"/>
              </w:rPr>
              <w:t>g khác nhau. Khi áp dụng tình tiết này là tình tiết định khung cơ bản, tình tiết định khung tăng nặng cần phải được quy định trong từng lĩnh vực cụ thể, mức độ, phạm vi ảnh hưởng như thế nào đối với tình hình trật tự, an toàn, xã hội... có như vậy mới trán</w:t>
            </w:r>
            <w:r>
              <w:rPr>
                <w:rFonts w:ascii="Times" w:eastAsia="Times New Roman" w:hAnsi="Times"/>
              </w:rPr>
              <w:t>h oan sai, bỏ lọt tội phạm.</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A. Giải thích luật, nghị quyết của Quốc hội, pháp lệnh, nghị quyết của Ủy ban Thường vụ Quốc hội theo quy định tại Điều 60 Luật Ban hành </w:t>
            </w:r>
            <w:r>
              <w:rPr>
                <w:rFonts w:ascii="Times" w:eastAsia="Times New Roman" w:hAnsi="Times"/>
              </w:rPr>
              <w:lastRenderedPageBreak/>
              <w:t>VBQPPL năm 2025</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Sở Tư pháp tỉnh Tuyên 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14-07-2025 21:59:25</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27</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Điều 45 </w:t>
            </w:r>
            <w:r>
              <w:rPr>
                <w:rFonts w:ascii="Times" w:eastAsia="Times New Roman" w:hAnsi="Times"/>
              </w:rPr>
              <w:t xml:space="preserve">Bộ Luật Hình sự năm 2015 (được sửa đổi, </w:t>
            </w:r>
            <w:r>
              <w:rPr>
                <w:rFonts w:ascii="Times" w:eastAsia="Times New Roman" w:hAnsi="Times"/>
              </w:rPr>
              <w:lastRenderedPageBreak/>
              <w:t>bổ sung năm 2017 và 2025)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Quy định có tình tiết “Tước một phần tài sản”. Việc quy định tước một phần tài sản </w:t>
            </w:r>
            <w:r>
              <w:rPr>
                <w:rFonts w:ascii="Times" w:eastAsia="Times New Roman" w:hAnsi="Times"/>
              </w:rPr>
              <w:lastRenderedPageBreak/>
              <w:t>dẫn đến khi áp dụng có tính chủ quan, không thống nhất, do đó, đề nghị quy định cụ thể một phần tài sản là</w:t>
            </w:r>
            <w:r>
              <w:rPr>
                <w:rFonts w:ascii="Times" w:eastAsia="Times New Roman" w:hAnsi="Times"/>
              </w:rPr>
              <w:t xml:space="preserve"> bao nhiêu % và quy định theo phân loại tội phạm.</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w:t>
            </w:r>
            <w:r>
              <w:rPr>
                <w:rFonts w:ascii="Times" w:eastAsia="Times New Roman" w:hAnsi="Times"/>
              </w:rPr>
              <w:lastRenderedPageBreak/>
              <w:t>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Sở Tư pháp tỉnh Tuyên </w:t>
            </w:r>
            <w:r>
              <w:rPr>
                <w:rFonts w:ascii="Times" w:eastAsia="Times New Roman" w:hAnsi="Times"/>
              </w:rPr>
              <w:lastRenderedPageBreak/>
              <w:t>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 xml:space="preserve">14-07-2025 </w:t>
            </w:r>
            <w:r>
              <w:rPr>
                <w:rFonts w:ascii="Times" w:eastAsia="Times New Roman" w:hAnsi="Times"/>
              </w:rPr>
              <w:lastRenderedPageBreak/>
              <w:t>21:59:25</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28</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Điểm h khoản 1 Điều 13 Luật Thi hành tạm giữ, </w:t>
            </w:r>
            <w:r>
              <w:rPr>
                <w:rFonts w:ascii="Times" w:eastAsia="Times New Roman" w:hAnsi="Times"/>
              </w:rPr>
              <w:lastRenderedPageBreak/>
              <w:t>tạm giam năm 2015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Điểm h khoản 1 Điều 13 Luật Thi hành tạm giữ, tạm giam năm 2015 quy định </w:t>
            </w:r>
            <w:r>
              <w:rPr>
                <w:rFonts w:ascii="Times" w:eastAsia="Times New Roman" w:hAnsi="Times"/>
              </w:rPr>
              <w:lastRenderedPageBreak/>
              <w:t>nhà tạm giữ, Trại tạm giam, có nhiệm vụ: “Thông báo bằng văn bản cho cơ quan đang thụ lý vụ án 01 ngày trước khi hết t</w:t>
            </w:r>
            <w:r>
              <w:rPr>
                <w:rFonts w:ascii="Times" w:eastAsia="Times New Roman" w:hAnsi="Times"/>
              </w:rPr>
              <w:t>hời hạn tạm giữ, gia hạn tạm giữ…”. Quy định nêu trên chưa bảo đảm tính khả thi, vì trên thực tế các cơ sở giam giữ khó thực hiện đúng quy định này một cách triệt để, vì thời hạn tạm giữ ngắn, việc thông báo, đôn đốc, trao đổi chủ yếu bằng điện thoại cho c</w:t>
            </w:r>
            <w:r>
              <w:rPr>
                <w:rFonts w:ascii="Times" w:eastAsia="Times New Roman" w:hAnsi="Times"/>
              </w:rPr>
              <w:t>ơ quan đang thụ lý, sau đó mới làm văn bản thông báo, dẫn đến việc vi phạm quy định.</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w:t>
            </w:r>
            <w:r>
              <w:rPr>
                <w:rFonts w:ascii="Times" w:eastAsia="Times New Roman" w:hAnsi="Times"/>
              </w:rPr>
              <w:lastRenderedPageBreak/>
              <w:t>thay thế, ban hành mới VBQPPL (theo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Sở Tư pháp tỉnh Tuyên </w:t>
            </w:r>
            <w:r>
              <w:rPr>
                <w:rFonts w:ascii="Times" w:eastAsia="Times New Roman" w:hAnsi="Times"/>
              </w:rPr>
              <w:lastRenderedPageBreak/>
              <w:t>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 xml:space="preserve">14-07-2025 </w:t>
            </w:r>
            <w:r>
              <w:rPr>
                <w:rFonts w:ascii="Times" w:eastAsia="Times New Roman" w:hAnsi="Times"/>
              </w:rPr>
              <w:lastRenderedPageBreak/>
              <w:t>21:59:25</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29</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Khoản 4 Điều 19 Luật Thi hành tạm giữ, tạm giam </w:t>
            </w:r>
            <w:r>
              <w:rPr>
                <w:rFonts w:ascii="Times" w:eastAsia="Times New Roman" w:hAnsi="Times"/>
              </w:rPr>
              <w:lastRenderedPageBreak/>
              <w:t>năm 2015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Việc điều chuyển người bị tạm giữ, người bị tạm giam giữa các cơ sở giam giữ do </w:t>
            </w:r>
            <w:r>
              <w:rPr>
                <w:rFonts w:ascii="Times" w:eastAsia="Times New Roman" w:hAnsi="Times"/>
              </w:rPr>
              <w:lastRenderedPageBreak/>
              <w:t>Thủ trưởng cơ quan quản lý tạm giữ, tạm giam quyết định sau khi thống nhất với thủ t</w:t>
            </w:r>
            <w:r>
              <w:rPr>
                <w:rFonts w:ascii="Times" w:eastAsia="Times New Roman" w:hAnsi="Times"/>
              </w:rPr>
              <w:t>rưởng cơ quan đang thụ lý vụ án và “thông báo cho Viện kiểm sát cùng cấp biết…”. Luật chưa quy định cụ thể về hình thức thông báo và thời hạn thông báo cho Viện kiểm sát cùng cấp.</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w:t>
            </w:r>
            <w:r>
              <w:rPr>
                <w:rFonts w:ascii="Times" w:eastAsia="Times New Roman" w:hAnsi="Times"/>
              </w:rPr>
              <w:lastRenderedPageBreak/>
              <w:t xml:space="preserve">thay thế, ban hành mới VBQPPL (theo trình tự, thủ tục </w:t>
            </w:r>
            <w:r>
              <w:rPr>
                <w:rFonts w:ascii="Times" w:eastAsia="Times New Roman" w:hAnsi="Times"/>
              </w:rPr>
              <w:t>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Sở Tư pháp tỉnh Tuyên </w:t>
            </w:r>
            <w:r>
              <w:rPr>
                <w:rFonts w:ascii="Times" w:eastAsia="Times New Roman" w:hAnsi="Times"/>
              </w:rPr>
              <w:lastRenderedPageBreak/>
              <w:t>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 xml:space="preserve">14-07-2025 </w:t>
            </w:r>
            <w:r>
              <w:rPr>
                <w:rFonts w:ascii="Times" w:eastAsia="Times New Roman" w:hAnsi="Times"/>
              </w:rPr>
              <w:lastRenderedPageBreak/>
              <w:t>21:59:25</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30</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Khoản 1 Điều 64 Luật Trật tự, an toàn giao thông </w:t>
            </w:r>
            <w:r>
              <w:rPr>
                <w:rFonts w:ascii="Times" w:eastAsia="Times New Roman" w:hAnsi="Times"/>
              </w:rPr>
              <w:lastRenderedPageBreak/>
              <w:t>đường bộ năm 2024</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Tại khoản 1 Điều 64 Luật Trật tự, An toàn giao thông đường bộ năm 2024 (có </w:t>
            </w:r>
            <w:r>
              <w:rPr>
                <w:rFonts w:ascii="Times" w:eastAsia="Times New Roman" w:hAnsi="Times"/>
              </w:rPr>
              <w:lastRenderedPageBreak/>
              <w:t>hiệu lực thi hành từ ngày 01/01/2025) quy định về Thời gian làm việc của người lái xe ô tô kinh doanh vận tải và vận tải đường bộ: “1. Thời gian lái xe của người lái xe ô tô không q</w:t>
            </w:r>
            <w:r>
              <w:rPr>
                <w:rFonts w:ascii="Times" w:eastAsia="Times New Roman" w:hAnsi="Times"/>
              </w:rPr>
              <w:t>uá 10 giờ trong một ngày và không quá 48 giờ trong một tuần; lái xe liên tục không quá 04 giờ và bảo đảm các quy định có liên quan của Bộ luật Lao động”. Quy định thời gian lái xe nêu trên thấp hơn so với các nước như Úc (12 giờ/ngày), Mỹ (11 giờ/ngày, 60-</w:t>
            </w:r>
            <w:r>
              <w:rPr>
                <w:rFonts w:ascii="Times" w:eastAsia="Times New Roman" w:hAnsi="Times"/>
              </w:rPr>
              <w:t xml:space="preserve">77 giờ/tuần), EU (56 giờ/tuần), Nhật Bản và Ấn Độ (60 giờ/tuần), dẫn đến năng suất lao động thấp, thu nhập cũng sẽ bị giảm tương ứng thấp. Hiện nhiều doanh nghiệp </w:t>
            </w:r>
            <w:r>
              <w:rPr>
                <w:rFonts w:ascii="Times" w:eastAsia="Times New Roman" w:hAnsi="Times"/>
              </w:rPr>
              <w:lastRenderedPageBreak/>
              <w:t>kinh doanh vận tải đang thiếu nguồn cung lái xe ảnh hưởng tới các doanh nghiệp vận tải đồng t</w:t>
            </w:r>
            <w:r>
              <w:rPr>
                <w:rFonts w:ascii="Times" w:eastAsia="Times New Roman" w:hAnsi="Times"/>
              </w:rPr>
              <w:t>hời tốc độ lưu thông bình quân di chuyển đường bộ chậm dẫn đến năng lực vận tải đường bộ yếu dẫn đến giá cước vận tải và chi phí logistics tăng cao sẽ làm giảm sức cạnh tranh của cả nền kinh tế.</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w:t>
            </w:r>
            <w:r>
              <w:rPr>
                <w:rFonts w:ascii="Times" w:eastAsia="Times New Roman" w:hAnsi="Times"/>
              </w:rPr>
              <w:lastRenderedPageBreak/>
              <w:t>thay thế, ban hành mới VBQPPL (theo trì</w:t>
            </w:r>
            <w:r>
              <w:rPr>
                <w:rFonts w:ascii="Times" w:eastAsia="Times New Roman" w:hAnsi="Times"/>
              </w:rPr>
              <w:t>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Sở Tư pháp tỉnh Tuyên </w:t>
            </w:r>
            <w:r>
              <w:rPr>
                <w:rFonts w:ascii="Times" w:eastAsia="Times New Roman" w:hAnsi="Times"/>
              </w:rPr>
              <w:lastRenderedPageBreak/>
              <w:t>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 xml:space="preserve">14-07-2025 </w:t>
            </w:r>
            <w:r>
              <w:rPr>
                <w:rFonts w:ascii="Times" w:eastAsia="Times New Roman" w:hAnsi="Times"/>
              </w:rPr>
              <w:lastRenderedPageBreak/>
              <w:t>21:59:25</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31</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Nghị định số 105/2025/NĐ-CP ngày 15/5/2025 của Chính Phủ Quy định chi tiết một số điều và biện pháp thi hành Luật Phòng cháy, chữa </w:t>
            </w:r>
            <w:r>
              <w:rPr>
                <w:rFonts w:ascii="Times" w:eastAsia="Times New Roman" w:hAnsi="Times"/>
              </w:rPr>
              <w:lastRenderedPageBreak/>
              <w:t>cháy và cứu nạn, cứu hộ.</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Tại điểm d Mục 17 Phụ lục III Danh mục công trình, phương tiện giao thông thuộc diện thẩm định thiế</w:t>
            </w:r>
            <w:r>
              <w:rPr>
                <w:rFonts w:ascii="Times" w:eastAsia="Times New Roman" w:hAnsi="Times"/>
              </w:rPr>
              <w:t xml:space="preserve">t kế về phòng cháy và chữa cháy do cơ quan quản lý chuyên ngành thẩm định kèm theo Nghị định số 105/2025/NĐ-CP quy định: “d) Công </w:t>
            </w:r>
            <w:r>
              <w:rPr>
                <w:rFonts w:ascii="Times" w:eastAsia="Times New Roman" w:hAnsi="Times"/>
              </w:rPr>
              <w:lastRenderedPageBreak/>
              <w:t>trình sản xuất công nghiệp khác có nhà phục vụ sản xuất thuộc hạng nguy hiểm cháy nổ A, B có khối tích từ 7.000 m3 trở lên hoặ</w:t>
            </w:r>
            <w:r>
              <w:rPr>
                <w:rFonts w:ascii="Times" w:eastAsia="Times New Roman" w:hAnsi="Times"/>
              </w:rPr>
              <w:t xml:space="preserve">c tổng diện tích sàn từ 1.000 m2 trở lên; công trình sản xuất công nghiệp có nhà phục vụ sản xuất thuộc hạng nguy hiểm cháy C có khối tích từ 15.000 m3 trở lên hoặc tổng diện tích sàn từ 2.000 m2 trở lên; công trình sản xuất công nghiệp có nhà phục vụ sản </w:t>
            </w:r>
            <w:r>
              <w:rPr>
                <w:rFonts w:ascii="Times" w:eastAsia="Times New Roman" w:hAnsi="Times"/>
              </w:rPr>
              <w:t xml:space="preserve">xuất thuộc hạng nguy hiểm cháy D, E có khối tích từ 30.000 m3 trở lên hoặc tổng diện tích sàn từ 10.000 m2 trở lên”. Tại quy định Tiêu chuẩn Việt Nam TCVN 2622 : 1995 phòng cháy, chống cháy cho nhà và công </w:t>
            </w:r>
            <w:r>
              <w:rPr>
                <w:rFonts w:ascii="Times" w:eastAsia="Times New Roman" w:hAnsi="Times"/>
              </w:rPr>
              <w:lastRenderedPageBreak/>
              <w:t>trình - yêu cầu thiết kế: Hạng D: Không thể hiện đ</w:t>
            </w:r>
            <w:r>
              <w:rPr>
                <w:rFonts w:ascii="Times" w:eastAsia="Times New Roman" w:hAnsi="Times"/>
              </w:rPr>
              <w:t xml:space="preserve">ặc tính nguy hiểm của sản xuất; Hạng E: Không thể hiện đặc tính nguy hiểm của sản xuất Cơ sở công nghiệp đã đầu tư nhiều chi phí để xử lý quy trình, sử dụng vật liệu đảm bảo chống cháy nổ phòng cháy, chữa cháy, không có nguy hiểm cháy thì việc bắt buộc cơ </w:t>
            </w:r>
            <w:r>
              <w:rPr>
                <w:rFonts w:ascii="Times" w:eastAsia="Times New Roman" w:hAnsi="Times"/>
              </w:rPr>
              <w:t>sở vẫn phải áp dụng thẩm định thiết kế phòng cháy, chữa cháy gây rất nhiều khó khăn doanh nghiệp trong bối cảnh giá cả vật tư, nhân công… đều tăng mạnh dẫn đến doanh nghiệp sẽ không đủ kinh phí để triển khai dự án, ngược lại nếu không áp dụng thì không đượ</w:t>
            </w:r>
            <w:r>
              <w:rPr>
                <w:rFonts w:ascii="Times" w:eastAsia="Times New Roman" w:hAnsi="Times"/>
              </w:rPr>
              <w:t xml:space="preserve">c cấp phép phòng </w:t>
            </w:r>
            <w:r>
              <w:rPr>
                <w:rFonts w:ascii="Times" w:eastAsia="Times New Roman" w:hAnsi="Times"/>
              </w:rPr>
              <w:lastRenderedPageBreak/>
              <w:t>cháy, chữa cháy để hoạt động.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thay thế, ban hành mới VBQPPL </w:t>
            </w:r>
            <w:r>
              <w:rPr>
                <w:rFonts w:ascii="Times" w:eastAsia="Times New Roman" w:hAnsi="Times"/>
              </w:rPr>
              <w:lastRenderedPageBreak/>
              <w:t>(theo trình tự, thủ tục 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Sở Tư pháp tỉnh Tuyên Quang</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14-07-2025 21:59:25</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32</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Khoản 1 Điều 23 Nghị định 105/2025/NĐ-CP hướng dẫn Luật PCCC và cứu nạn cứu hộ</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Khoản 1 Điều 23 quy định "Phương tiện PCCC, CNCH và vật liệu, cấu kiện ngăn cháy, chống cháy theo danh mục quy định tại phụ V kèm theo Nghị định này trước khi lưu thông trên th</w:t>
            </w:r>
            <w:r>
              <w:rPr>
                <w:rFonts w:ascii="Times" w:eastAsia="Times New Roman" w:hAnsi="Times"/>
              </w:rPr>
              <w:t>ị trường phải được cơ quan có thẩm quyền cấp phép lưu thông." Việc trang bị phương tiện thiết bị PCCC&amp;CNCH để bổ sung/ thay thế hư hỏng/sử dụng (số lượng ít) cho các dự án đang vận hành (ví dụ NMLD) gặp khó khăn do không có đơn vị cung cấp vì lý do vướng t</w:t>
            </w:r>
            <w:r>
              <w:rPr>
                <w:rFonts w:ascii="Times" w:eastAsia="Times New Roman" w:hAnsi="Times"/>
              </w:rPr>
              <w:t xml:space="preserve">hủ tục kiểm định/lưu thông, đặc biệt đối với các thiết bị nhập khẩu. </w:t>
            </w:r>
            <w:r>
              <w:rPr>
                <w:rFonts w:ascii="Times" w:eastAsia="Times New Roman" w:hAnsi="Times"/>
              </w:rPr>
              <w:lastRenderedPageBreak/>
              <w:t>Ngoài ra, khi tiến hành Nâng cấp mở rộng Nhà máy lọc dầu Dung Quất sẽ vướng mắc về vấn đề đồng bộ tiêu chuẩn các phương tiện nêu trên giữa phần mở rộng và Nhà máy hiện hữu về tiêu chuẩn.</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thay thế, ban hành mới VBQPPL (theo trình tự, thủ tục rút gọn ban hành VBQPPL của Luật Ban hành </w:t>
            </w:r>
            <w:r>
              <w:rPr>
                <w:rFonts w:ascii="Times" w:eastAsia="Times New Roman" w:hAnsi="Times"/>
              </w:rPr>
              <w:lastRenderedPageBreak/>
              <w:t>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Tập đoàn Công nghiệp - Năng lượng Quốc gia Việt Nam </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14-07-2025 10:05:24</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33</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Điều 13 Thông tư 36/2025/TT-BCA hướng dẫn Luật phòng cháy, chữa cháy và cứu nạn cứu hộ và Nghị định 105/2025/NĐ-CP: Huấn luyện, bồi dưỡng nghiệp vụ PCCC và CNCH.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Các nội dung bồi dưỡng về PCCC&amp;CNCH theo quy định đã được huấn luyện 5 năm/lần, Doanh nghiệ</w:t>
            </w:r>
            <w:r>
              <w:rPr>
                <w:rFonts w:ascii="Times" w:eastAsia="Times New Roman" w:hAnsi="Times"/>
              </w:rPr>
              <w:t xml:space="preserve">p/Cơ sở có đáp ứng đủ nguồn lực và hiện đại (đội PCCC chuyên ngành, trung tâm/thiết bị thực tập,..) nhưng chưa được phép tự tổ chức. - Việc tổ chức bồi dưỡng nghiệp vụ PCCC hàng năm đối với Doanh nghiệp/Cơ sở có số lượng CBNV lớn gặp </w:t>
            </w:r>
            <w:r>
              <w:rPr>
                <w:rFonts w:ascii="Times" w:eastAsia="Times New Roman" w:hAnsi="Times"/>
              </w:rPr>
              <w:lastRenderedPageBreak/>
              <w:t>khó khăn trong việc bố</w:t>
            </w:r>
            <w:r>
              <w:rPr>
                <w:rFonts w:ascii="Times" w:eastAsia="Times New Roman" w:hAnsi="Times"/>
              </w:rPr>
              <w:t xml:space="preserve"> trí sắp xếp công việc, việc tổ chức huấn luyện phải chuẩn bị các thủ tục mua sắm/đấu thầu theo quy định... - Việc quy định thẩm quyền huấn luyện tại các Cơ sở thuộc nhóm 1 -phụ lục 2-Nghị định 105/2025/NĐ-CP: (1) Cơ sở đào tạo huấn luyện cho Người được ph</w:t>
            </w:r>
            <w:r>
              <w:rPr>
                <w:rFonts w:ascii="Times" w:eastAsia="Times New Roman" w:hAnsi="Times"/>
              </w:rPr>
              <w:t>ân công thực hiện kiểm tra PCCC&amp;CNCH, (2) Phòng Cảnh sát PCCC huấn luyện cho các đối tượng khác trừ người được phân công thực hiện kiểm tra PCCC -&gt; Cơ sở phải thực hiện tổ chức huấn luyện PCCC &amp;CNCH bởi 02 đơn vị khác nhau cho các nhóm đối tượng.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C. Sửa đ</w:t>
            </w:r>
            <w:r>
              <w:rPr>
                <w:rFonts w:ascii="Times" w:eastAsia="Times New Roman" w:hAnsi="Times"/>
              </w:rPr>
              <w:t xml:space="preserve">ổi, bổ sung, thay thế, ban hành mới VBQPPL (theo trình tự, thủ tục rút gọn ban </w:t>
            </w:r>
            <w:r>
              <w:rPr>
                <w:rFonts w:ascii="Times" w:eastAsia="Times New Roman" w:hAnsi="Times"/>
              </w:rPr>
              <w:lastRenderedPageBreak/>
              <w:t>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Tập đoàn Công nghiệp - Năng lượng Quốc gia Việt Nam </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14-07-2025 10:05:24</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34</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Nghị định số 105/2025/NĐ-CP ngày 15/5/2025.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Tại Nghị định số 105/2025/NĐ-CP, chưa có quy định: Chế độ, chính sách đối với Đội trưởng, Đội phó đội dân phòng, đội phòng cháy và chữa cháy cơ sở và chuyên ngành. Kiến nghị, đề xuất bổ sung Điều này cụ thể:“- Chủ tịch Ủy ban nhân dân tỉnh, thành phố trực </w:t>
            </w:r>
            <w:r>
              <w:rPr>
                <w:rFonts w:ascii="Times" w:eastAsia="Times New Roman" w:hAnsi="Times"/>
              </w:rPr>
              <w:t>thuộc trung ương có trách nhiệm trình Hội đồng nhân dân cùng cấp quyết định mức hỗ trợ thường xuyên hàng tháng cho các chức danh Đội trưởng, Đội phó đội dân phòng; mức hỗ trợ căn cứ điều kiện thực tế của từng địa phương nhưng không thấp hơn 18% lương tối t</w:t>
            </w:r>
            <w:r>
              <w:rPr>
                <w:rFonts w:ascii="Times" w:eastAsia="Times New Roman" w:hAnsi="Times"/>
              </w:rPr>
              <w:t xml:space="preserve">hiểu vùng.Đội trưởng, Đội phó đội phòng cháy và chữa cháy cơ </w:t>
            </w:r>
            <w:r>
              <w:rPr>
                <w:rFonts w:ascii="Times" w:eastAsia="Times New Roman" w:hAnsi="Times"/>
              </w:rPr>
              <w:lastRenderedPageBreak/>
              <w:t>sở và chuyên ngành hoạt động theo chế độ không chuyên trách ngoài việc được hưởng nguyên lương và các khoản phụ cấp khác (nếu có), còn được hưởng hỗ trợ thường xuyên hàng tháng do cơ quan, tổ chứ</w:t>
            </w:r>
            <w:r>
              <w:rPr>
                <w:rFonts w:ascii="Times" w:eastAsia="Times New Roman" w:hAnsi="Times"/>
              </w:rPr>
              <w:t>c quản lý chi trả. Căn cứ vào điều kiện thực tế, người đứng đầu cơ quan, tổ chức quyết định, mức hỗ trợ cho từng chức danh nhưng không thấp hơn hệ số 0,35 lương tối thiểu vùng.”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C. Sửa đổi, bổ sung, thay thế, ban hành mới VBQPPL (theo trình tự, thủ tục rú</w:t>
            </w:r>
            <w:r>
              <w:rPr>
                <w:rFonts w:ascii="Times" w:eastAsia="Times New Roman" w:hAnsi="Times"/>
              </w:rPr>
              <w:t>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Tập đoàn Công nghiệp - Năng lượng Quốc gia Việt Nam </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14-07-2025 10:05:24</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35</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Nghị định số 105/2025/NĐ-CP ngày 15/5/2025.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Tại Nghị định số 105/2025/NĐ-CP, chưa có quy định: Chế độ, chính sách đối với Đội trưởng, Đội phó đội dân phòng, đội phòng cháy và chữa cháy cơ sở và </w:t>
            </w:r>
            <w:r>
              <w:rPr>
                <w:rFonts w:ascii="Times" w:eastAsia="Times New Roman" w:hAnsi="Times"/>
              </w:rPr>
              <w:lastRenderedPageBreak/>
              <w:t>chuyên ngành. Kiến nghị, đề xuất bổ sung Điều này cụ thể: “- Chủ tịch Ủy ban nhân dân tỉnh, thành phố trực</w:t>
            </w:r>
            <w:r>
              <w:rPr>
                <w:rFonts w:ascii="Times" w:eastAsia="Times New Roman" w:hAnsi="Times"/>
              </w:rPr>
              <w:t xml:space="preserve"> thuộc trung ương có trách nhiệm trình Hội đồng nhân dân cùng cấp quyết định mức hỗ trợ thường xuyên hàng tháng cho các chức danh Đội trưởng, Đội phó đội dân phòng; mức hỗ trợ căn cứ điều kiện thực tế của từng địa phương nhưng không thấp hơn 18% lương tối </w:t>
            </w:r>
            <w:r>
              <w:rPr>
                <w:rFonts w:ascii="Times" w:eastAsia="Times New Roman" w:hAnsi="Times"/>
              </w:rPr>
              <w:t xml:space="preserve">thiểu vùng. Đội trưởng, Đội phó đội phòng cháy và chữa cháy cơ sở và chuyên ngành hoạt động theo chế độ không chuyên trách ngoài việc được hưởng nguyên lương và các khoản phụ cấp khác (nếu có), còn được hưởng hỗ trợ </w:t>
            </w:r>
            <w:r>
              <w:rPr>
                <w:rFonts w:ascii="Times" w:eastAsia="Times New Roman" w:hAnsi="Times"/>
              </w:rPr>
              <w:lastRenderedPageBreak/>
              <w:t>thường xuyên hàng tháng do cơ quan, tổ c</w:t>
            </w:r>
            <w:r>
              <w:rPr>
                <w:rFonts w:ascii="Times" w:eastAsia="Times New Roman" w:hAnsi="Times"/>
              </w:rPr>
              <w:t>hức quản lý chi trả. Căn cứ vào điều kiện thực tế, người đứng đầu cơ quan, tổ chức quyết định, mức hỗ trợ cho từng chức danh nhưng không thấp hơn hệ số 0,35 lương tối thiểu vùng.”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thay thế, ban hành </w:t>
            </w:r>
            <w:r>
              <w:rPr>
                <w:rFonts w:ascii="Times" w:eastAsia="Times New Roman" w:hAnsi="Times"/>
              </w:rPr>
              <w:lastRenderedPageBreak/>
              <w:t xml:space="preserve">mới VBQPPL (theo trình tự, thủ tục </w:t>
            </w:r>
            <w:r>
              <w:rPr>
                <w:rFonts w:ascii="Times" w:eastAsia="Times New Roman" w:hAnsi="Times"/>
              </w:rPr>
              <w:t>rút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Tổng công ty Dầu Việt Nam – </w:t>
            </w:r>
            <w:r>
              <w:rPr>
                <w:rFonts w:ascii="Times" w:eastAsia="Times New Roman" w:hAnsi="Times"/>
              </w:rPr>
              <w:lastRenderedPageBreak/>
              <w:t>PVoil</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11-07-2025 10:34:29</w:t>
            </w:r>
          </w:p>
        </w:tc>
      </w:tr>
      <w:tr w:rsidR="00000000">
        <w:trPr>
          <w:divId w:val="1362127311"/>
          <w:tblCellSpacing w:w="0" w:type="dxa"/>
        </w:trPr>
        <w:tc>
          <w:tcPr>
            <w:tcW w:w="2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lastRenderedPageBreak/>
              <w:t>36</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Nghị định số 105/2025/NĐ-CP ngày 15/5/2025.</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t xml:space="preserve">Tại Nghị định số 105/2025/NĐ-CP, chưa có quy định: Chế độ, chính sách đối với Đội trưởng, Đội phó đội dân phòng, đội phòng cháy và chữa cháy cơ sở và chuyên ngành. Kiến nghị, đề xuất bổ sung Điều này cụ thể:“- Chủ tịch Ủy ban nhân dân tỉnh, thành phố trực </w:t>
            </w:r>
            <w:r>
              <w:rPr>
                <w:rFonts w:ascii="Times" w:eastAsia="Times New Roman" w:hAnsi="Times"/>
              </w:rPr>
              <w:t xml:space="preserve">thuộc trung ương có trách nhiệm trình Hội đồng nhân </w:t>
            </w:r>
            <w:r>
              <w:rPr>
                <w:rFonts w:ascii="Times" w:eastAsia="Times New Roman" w:hAnsi="Times"/>
              </w:rPr>
              <w:lastRenderedPageBreak/>
              <w:t>dân cùng cấp quyết định mức hỗ trợ thường xuyên hàng tháng cho các chức danh Đội trưởng, Đội phó đội dân phòng; mức hỗ trợ căn cứ điều kiện thực tế của từng địa phương nhưng không thấp hơn 18% lương tối t</w:t>
            </w:r>
            <w:r>
              <w:rPr>
                <w:rFonts w:ascii="Times" w:eastAsia="Times New Roman" w:hAnsi="Times"/>
              </w:rPr>
              <w:t>hiểu vùng.Đội trưởng, Đội phó đội phòng cháy và chữa cháy cơ sở và chuyên ngành hoạt động theo chế độ không chuyên trách ngoài việc được hưởng nguyên lương và các khoản phụ cấp khác (nếu có), còn được hưởng hỗ trợ thường xuyên hàng tháng do cơ quan, tổ chứ</w:t>
            </w:r>
            <w:r>
              <w:rPr>
                <w:rFonts w:ascii="Times" w:eastAsia="Times New Roman" w:hAnsi="Times"/>
              </w:rPr>
              <w:t xml:space="preserve">c quản lý chi trả. Căn cứ vào điều kiện thực tế, người đứng đầu cơ quan, tổ chức quyết định, mức hỗ trợ cho từng </w:t>
            </w:r>
            <w:r>
              <w:rPr>
                <w:rFonts w:ascii="Times" w:eastAsia="Times New Roman" w:hAnsi="Times"/>
              </w:rPr>
              <w:lastRenderedPageBreak/>
              <w:t>chức danh nhưng không thấp hơn hệ số 0,35 lương tối thiểu vùng.”</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C. Sửa đổi, bổ sung, thay thế, ban hành mới VBQPPL (theo trình tự, thủ tục </w:t>
            </w:r>
            <w:r>
              <w:rPr>
                <w:rFonts w:ascii="Times" w:eastAsia="Times New Roman" w:hAnsi="Times"/>
              </w:rPr>
              <w:lastRenderedPageBreak/>
              <w:t>rú</w:t>
            </w:r>
            <w:r>
              <w:rPr>
                <w:rFonts w:ascii="Times" w:eastAsia="Times New Roman" w:hAnsi="Times"/>
              </w:rPr>
              <w:t>t gọn ban hành VBQPPL của Luật Ban hành VBQPPL)</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r>
              <w:rPr>
                <w:rFonts w:ascii="Times" w:eastAsia="Times New Roman" w:hAnsi="Times"/>
              </w:rPr>
              <w:lastRenderedPageBreak/>
              <w:t xml:space="preserve">Tập đoàn Công nghiệp - Năng lượng Quốc gia Việt Nam </w:t>
            </w: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100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rPr>
                <w:rFonts w:ascii="Times" w:eastAsia="Times New Roman" w:hAnsi="Times"/>
                <w:sz w:val="24"/>
                <w:szCs w:val="24"/>
              </w:rPr>
            </w:pPr>
          </w:p>
        </w:tc>
        <w:tc>
          <w:tcPr>
            <w:tcW w:w="350" w:type="pct"/>
            <w:tcBorders>
              <w:top w:val="outset" w:sz="6" w:space="0" w:color="000000"/>
              <w:left w:val="outset" w:sz="6" w:space="0" w:color="000000"/>
              <w:bottom w:val="outset" w:sz="6" w:space="0" w:color="000000"/>
              <w:right w:val="outset" w:sz="6" w:space="0" w:color="000000"/>
            </w:tcBorders>
            <w:vAlign w:val="center"/>
            <w:hideMark/>
          </w:tcPr>
          <w:p w:rsidR="00000000" w:rsidRDefault="00C12CCE">
            <w:pPr>
              <w:jc w:val="center"/>
              <w:rPr>
                <w:rFonts w:ascii="Times" w:eastAsia="Times New Roman" w:hAnsi="Times"/>
                <w:sz w:val="24"/>
                <w:szCs w:val="24"/>
              </w:rPr>
            </w:pPr>
            <w:r>
              <w:rPr>
                <w:rFonts w:ascii="Times" w:eastAsia="Times New Roman" w:hAnsi="Times"/>
              </w:rPr>
              <w:t>11-07-2025 10:29:44</w:t>
            </w:r>
          </w:p>
        </w:tc>
      </w:tr>
    </w:tbl>
    <w:p w:rsidR="00C12CCE" w:rsidRDefault="00C12CCE">
      <w:pPr>
        <w:divId w:val="1362127311"/>
        <w:rPr>
          <w:rFonts w:ascii="Times New Roman" w:eastAsia="Times New Roman" w:hAnsi="Times New Roman"/>
          <w:sz w:val="24"/>
          <w:szCs w:val="24"/>
        </w:rPr>
      </w:pPr>
    </w:p>
    <w:sectPr w:rsidR="00C12CCE" w:rsidSect="00814D1B">
      <w:pgSz w:w="15840" w:h="12240" w:orient="landscape"/>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ontAwesome">
    <w:altName w:val="Times New Roman"/>
    <w:panose1 w:val="00000000000000000000"/>
    <w:charset w:val="00"/>
    <w:family w:val="roman"/>
    <w:notTrueType/>
    <w:pitch w:val="default"/>
  </w:font>
  <w:font w:name="Times">
    <w:panose1 w:val="020206030504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3B5153"/>
    <w:rsid w:val="003B5153"/>
    <w:rsid w:val="00814D1B"/>
    <w:rsid w:val="00C12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pPr>
      <w:spacing w:before="100" w:beforeAutospacing="1" w:after="100" w:afterAutospacing="1" w:line="240" w:lineRule="auto"/>
      <w:outlineLvl w:val="2"/>
    </w:pPr>
    <w:rPr>
      <w:rFonts w:ascii="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Pr>
      <w:rFonts w:ascii="Times New Roman" w:hAnsi="Times New Roman" w:cs="Times New Roman"/>
      <w:b/>
      <w:bCs/>
      <w:sz w:val="27"/>
      <w:szCs w:val="27"/>
    </w:rPr>
  </w:style>
  <w:style w:type="paragraph" w:styleId="NormalWeb">
    <w:name w:val="Normal (Web)"/>
    <w:basedOn w:val="Normal"/>
    <w:uiPriority w:val="99"/>
    <w:semiHidden/>
    <w:unhideWhenUsed/>
    <w:pPr>
      <w:spacing w:before="100" w:beforeAutospacing="1" w:after="100" w:afterAutospacing="1" w:line="240" w:lineRule="auto"/>
    </w:pPr>
    <w:rPr>
      <w:rFonts w:ascii="Times New Roman" w:hAnsi="Times New Roman" w:cs="Times New Roman"/>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74544">
      <w:marLeft w:val="0"/>
      <w:marRight w:val="0"/>
      <w:marTop w:val="0"/>
      <w:marBottom w:val="0"/>
      <w:divBdr>
        <w:top w:val="none" w:sz="0" w:space="0" w:color="auto"/>
        <w:left w:val="none" w:sz="0" w:space="0" w:color="auto"/>
        <w:bottom w:val="none" w:sz="0" w:space="0" w:color="auto"/>
        <w:right w:val="none" w:sz="0" w:space="0" w:color="auto"/>
      </w:divBdr>
      <w:divsChild>
        <w:div w:id="1446071608">
          <w:marLeft w:val="0"/>
          <w:marRight w:val="0"/>
          <w:marTop w:val="0"/>
          <w:marBottom w:val="0"/>
          <w:divBdr>
            <w:top w:val="none" w:sz="0" w:space="0" w:color="auto"/>
            <w:left w:val="none" w:sz="0" w:space="0" w:color="auto"/>
            <w:bottom w:val="none" w:sz="0" w:space="0" w:color="auto"/>
            <w:right w:val="none" w:sz="0" w:space="0" w:color="auto"/>
          </w:divBdr>
          <w:divsChild>
            <w:div w:id="77673187">
              <w:marLeft w:val="0"/>
              <w:marRight w:val="0"/>
              <w:marTop w:val="0"/>
              <w:marBottom w:val="0"/>
              <w:divBdr>
                <w:top w:val="none" w:sz="0" w:space="0" w:color="auto"/>
                <w:left w:val="none" w:sz="0" w:space="0" w:color="auto"/>
                <w:bottom w:val="none" w:sz="0" w:space="0" w:color="auto"/>
                <w:right w:val="none" w:sz="0" w:space="0" w:color="auto"/>
              </w:divBdr>
              <w:divsChild>
                <w:div w:id="1450592067">
                  <w:marLeft w:val="0"/>
                  <w:marRight w:val="0"/>
                  <w:marTop w:val="0"/>
                  <w:marBottom w:val="0"/>
                  <w:divBdr>
                    <w:top w:val="none" w:sz="0" w:space="0" w:color="auto"/>
                    <w:left w:val="none" w:sz="0" w:space="0" w:color="auto"/>
                    <w:bottom w:val="none" w:sz="0" w:space="0" w:color="auto"/>
                    <w:right w:val="none" w:sz="0" w:space="0" w:color="auto"/>
                  </w:divBdr>
                  <w:divsChild>
                    <w:div w:id="136212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5435099">
      <w:marLeft w:val="0"/>
      <w:marRight w:val="0"/>
      <w:marTop w:val="0"/>
      <w:marBottom w:val="0"/>
      <w:divBdr>
        <w:top w:val="none" w:sz="0" w:space="0" w:color="auto"/>
        <w:left w:val="none" w:sz="0" w:space="0" w:color="auto"/>
        <w:bottom w:val="none" w:sz="0" w:space="0" w:color="auto"/>
        <w:right w:val="none" w:sz="0" w:space="0" w:color="auto"/>
      </w:divBdr>
      <w:divsChild>
        <w:div w:id="173280174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55</Pages>
  <Words>5818</Words>
  <Characters>33166</Characters>
  <Application>Microsoft Office Word</Application>
  <DocSecurity>0</DocSecurity>
  <Lines>276</Lines>
  <Paragraphs>77</Paragraphs>
  <ScaleCrop>false</ScaleCrop>
  <Company/>
  <LinksUpToDate>false</LinksUpToDate>
  <CharactersWithSpaces>38907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2</cp:revision>
  <dcterms:created xsi:type="dcterms:W3CDTF">2025-07-16T10:54:00Z</dcterms:created>
  <dcterms:modified xsi:type="dcterms:W3CDTF">2025-07-16T10:55:00Z</dcterms:modified>
</cp:coreProperties>
</file>